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C0C938" w14:textId="100383E9" w:rsidR="00E85A7B" w:rsidRDefault="00CB551A" w:rsidP="00EB0A85">
      <w:pPr>
        <w:rPr>
          <w:sz w:val="18"/>
          <w:szCs w:val="18"/>
          <w:rtl/>
        </w:rPr>
      </w:pPr>
      <w:r>
        <w:rPr>
          <w:rFonts w:hint="cs"/>
          <w:sz w:val="18"/>
          <w:szCs w:val="18"/>
          <w:rtl/>
        </w:rPr>
        <w:t xml:space="preserve">בס"ד </w:t>
      </w:r>
      <w:r w:rsidR="006B52C8">
        <w:rPr>
          <w:rFonts w:hint="cs"/>
          <w:sz w:val="18"/>
          <w:szCs w:val="18"/>
          <w:rtl/>
        </w:rPr>
        <w:t>יז</w:t>
      </w:r>
      <w:r w:rsidR="003D678F">
        <w:rPr>
          <w:rFonts w:hint="cs"/>
          <w:sz w:val="18"/>
          <w:szCs w:val="18"/>
          <w:rtl/>
        </w:rPr>
        <w:t xml:space="preserve"> תמוז</w:t>
      </w:r>
      <w:r w:rsidR="00E46370">
        <w:rPr>
          <w:rFonts w:hint="cs"/>
          <w:sz w:val="18"/>
          <w:szCs w:val="18"/>
          <w:rtl/>
        </w:rPr>
        <w:t xml:space="preserve"> </w:t>
      </w:r>
      <w:r w:rsidR="00E2729B">
        <w:rPr>
          <w:rFonts w:hint="cs"/>
          <w:sz w:val="18"/>
          <w:szCs w:val="18"/>
          <w:rtl/>
        </w:rPr>
        <w:t>תשפ"</w:t>
      </w:r>
      <w:r w:rsidR="006B52C8">
        <w:rPr>
          <w:rFonts w:hint="cs"/>
          <w:sz w:val="18"/>
          <w:szCs w:val="18"/>
          <w:rtl/>
        </w:rPr>
        <w:t>ה</w:t>
      </w:r>
    </w:p>
    <w:p w14:paraId="60F43851" w14:textId="44C089A6" w:rsidR="00BA6A4B" w:rsidRDefault="00176C63" w:rsidP="00EB0A85">
      <w:pPr>
        <w:pStyle w:val="Heading1"/>
        <w:jc w:val="center"/>
        <w:rPr>
          <w:b/>
          <w:bCs/>
          <w:color w:val="auto"/>
          <w:sz w:val="28"/>
          <w:szCs w:val="28"/>
          <w:rtl/>
        </w:rPr>
      </w:pPr>
      <w:r>
        <w:rPr>
          <w:rFonts w:hint="cs"/>
          <w:b/>
          <w:bCs/>
          <w:color w:val="auto"/>
          <w:sz w:val="28"/>
          <w:szCs w:val="28"/>
          <w:rtl/>
        </w:rPr>
        <w:t xml:space="preserve">מעשה פנחס </w:t>
      </w:r>
      <w:r>
        <w:rPr>
          <w:b/>
          <w:bCs/>
          <w:color w:val="auto"/>
          <w:sz w:val="28"/>
          <w:szCs w:val="28"/>
          <w:rtl/>
        </w:rPr>
        <w:t>–</w:t>
      </w:r>
      <w:r>
        <w:rPr>
          <w:rFonts w:hint="cs"/>
          <w:b/>
          <w:bCs/>
          <w:color w:val="auto"/>
          <w:sz w:val="28"/>
          <w:szCs w:val="28"/>
          <w:rtl/>
        </w:rPr>
        <w:t xml:space="preserve"> בין קנאות להלכה</w:t>
      </w:r>
    </w:p>
    <w:p w14:paraId="4A3A41D6" w14:textId="45AE1C27" w:rsidR="007F7024" w:rsidRDefault="006B52C8" w:rsidP="007F7024">
      <w:pPr>
        <w:jc w:val="both"/>
        <w:rPr>
          <w:rFonts w:cs="Arial"/>
        </w:rPr>
      </w:pPr>
      <w:r>
        <w:rPr>
          <w:rFonts w:cs="Arial" w:hint="cs"/>
          <w:rtl/>
        </w:rPr>
        <w:t xml:space="preserve">הפרשה הקודמת, פרשת בלק, נחתמת </w:t>
      </w:r>
      <w:r w:rsidR="00D76A8E">
        <w:rPr>
          <w:rFonts w:cs="Arial" w:hint="cs"/>
          <w:rtl/>
        </w:rPr>
        <w:t>בחטא של עם ישראל בשיטים</w:t>
      </w:r>
      <w:r w:rsidR="00D8200A">
        <w:rPr>
          <w:rStyle w:val="FootnoteReference"/>
          <w:rFonts w:cs="Arial"/>
          <w:rtl/>
        </w:rPr>
        <w:footnoteReference w:id="2"/>
      </w:r>
      <w:r w:rsidR="00D76A8E">
        <w:rPr>
          <w:rFonts w:cs="Arial" w:hint="cs"/>
          <w:rtl/>
        </w:rPr>
        <w:t xml:space="preserve">. </w:t>
      </w:r>
      <w:r w:rsidR="006765C9" w:rsidRPr="006765C9">
        <w:rPr>
          <w:rFonts w:cs="Arial"/>
          <w:rtl/>
        </w:rPr>
        <w:t>בנות מואב פועלות לפיתוי גברים מבני ישראל</w:t>
      </w:r>
      <w:r w:rsidR="00CF1E74">
        <w:rPr>
          <w:rFonts w:cs="Arial" w:hint="cs"/>
          <w:rtl/>
        </w:rPr>
        <w:t xml:space="preserve">, </w:t>
      </w:r>
      <w:r w:rsidR="00CF1E74" w:rsidRPr="00CF1E74">
        <w:rPr>
          <w:rFonts w:cs="Arial"/>
          <w:rtl/>
        </w:rPr>
        <w:t>ובכך גורמות להם להשתתף גם בפולחן אלילי</w:t>
      </w:r>
      <w:r w:rsidR="00CF1E74">
        <w:rPr>
          <w:rFonts w:cs="Arial" w:hint="cs"/>
          <w:rtl/>
        </w:rPr>
        <w:t>.</w:t>
      </w:r>
      <w:r w:rsidR="000D294C">
        <w:rPr>
          <w:rFonts w:cs="Arial" w:hint="cs"/>
          <w:rtl/>
        </w:rPr>
        <w:t xml:space="preserve"> </w:t>
      </w:r>
      <w:r w:rsidR="000D294C" w:rsidRPr="000D294C">
        <w:rPr>
          <w:rFonts w:cs="Arial"/>
          <w:rtl/>
        </w:rPr>
        <w:t xml:space="preserve">בתגובה </w:t>
      </w:r>
      <w:r w:rsidR="00CE3ACE">
        <w:rPr>
          <w:rFonts w:cs="Arial" w:hint="cs"/>
          <w:rtl/>
        </w:rPr>
        <w:t>לחטא זה</w:t>
      </w:r>
      <w:r w:rsidR="000D294C" w:rsidRPr="000D294C">
        <w:rPr>
          <w:rFonts w:cs="Arial"/>
          <w:rtl/>
        </w:rPr>
        <w:t xml:space="preserve"> פורצת מגפה בעם, וה' מצווה את משה להעניש את המעורבים</w:t>
      </w:r>
      <w:r w:rsidR="00A755DD">
        <w:rPr>
          <w:rFonts w:cs="Arial" w:hint="cs"/>
          <w:rtl/>
        </w:rPr>
        <w:t xml:space="preserve"> </w:t>
      </w:r>
      <w:r w:rsidR="00A755DD" w:rsidRPr="00A755DD">
        <w:rPr>
          <w:rFonts w:cs="Arial"/>
          <w:rtl/>
        </w:rPr>
        <w:t>ומשה מעביר את ההוראה לשופטים</w:t>
      </w:r>
      <w:r w:rsidR="000D294C" w:rsidRPr="000D294C">
        <w:rPr>
          <w:rFonts w:cs="Arial"/>
          <w:rtl/>
        </w:rPr>
        <w:t xml:space="preserve">. </w:t>
      </w:r>
      <w:r w:rsidR="00120E6C">
        <w:rPr>
          <w:rFonts w:cs="Arial" w:hint="cs"/>
          <w:rtl/>
        </w:rPr>
        <w:t>בשלב זה במקום לומר</w:t>
      </w:r>
      <w:r w:rsidR="00DF56BA">
        <w:rPr>
          <w:rFonts w:cs="Arial" w:hint="cs"/>
          <w:rtl/>
        </w:rPr>
        <w:t xml:space="preserve"> </w:t>
      </w:r>
      <w:r w:rsidR="00120E6C">
        <w:rPr>
          <w:rFonts w:cs="Arial" w:hint="cs"/>
          <w:rtl/>
        </w:rPr>
        <w:t xml:space="preserve">לנו שהשופטים מקיימים את הצו, התורה עוברת לתאר מקרה פרטי בו </w:t>
      </w:r>
      <w:r w:rsidR="000D294C" w:rsidRPr="000D294C">
        <w:rPr>
          <w:rFonts w:cs="Arial"/>
          <w:rtl/>
        </w:rPr>
        <w:t xml:space="preserve">איש ישראלי ואישה מדיינית </w:t>
      </w:r>
      <w:r w:rsidR="00B076DD">
        <w:rPr>
          <w:rFonts w:cs="Arial" w:hint="cs"/>
          <w:rtl/>
        </w:rPr>
        <w:t>חוטאים</w:t>
      </w:r>
      <w:r w:rsidR="000D294C" w:rsidRPr="000D294C">
        <w:rPr>
          <w:rFonts w:cs="Arial"/>
          <w:rtl/>
        </w:rPr>
        <w:t xml:space="preserve"> יחד בפומבי. </w:t>
      </w:r>
      <w:r w:rsidR="00843FE9">
        <w:rPr>
          <w:rFonts w:cs="Arial" w:hint="cs"/>
          <w:rtl/>
        </w:rPr>
        <w:t xml:space="preserve">משה ויתר העם </w:t>
      </w:r>
      <w:r w:rsidR="002B37F7">
        <w:rPr>
          <w:rFonts w:cs="Arial" w:hint="cs"/>
          <w:rtl/>
        </w:rPr>
        <w:t>משותקים</w:t>
      </w:r>
      <w:r w:rsidR="00DF56BA">
        <w:rPr>
          <w:rFonts w:cs="Arial" w:hint="cs"/>
          <w:rtl/>
        </w:rPr>
        <w:t>, ומתוארים כמי שבוכים</w:t>
      </w:r>
      <w:r w:rsidR="007F7024">
        <w:rPr>
          <w:rFonts w:cs="Arial" w:hint="cs"/>
          <w:rtl/>
        </w:rPr>
        <w:t>, בעוד פנחס קם והורג את הזוג.</w:t>
      </w:r>
    </w:p>
    <w:p w14:paraId="5FEA0051" w14:textId="3D154243" w:rsidR="003449DE" w:rsidRDefault="00C444BF" w:rsidP="00C444BF">
      <w:pPr>
        <w:jc w:val="both"/>
        <w:rPr>
          <w:rFonts w:cs="Arial"/>
          <w:rtl/>
        </w:rPr>
      </w:pPr>
      <w:r w:rsidRPr="00C444BF">
        <w:rPr>
          <w:rFonts w:cs="Arial"/>
          <w:rtl/>
        </w:rPr>
        <w:t xml:space="preserve">פנחס מגיב למעשה של </w:t>
      </w:r>
      <w:r w:rsidR="00B45A36">
        <w:rPr>
          <w:rFonts w:cs="Arial" w:hint="cs"/>
          <w:rtl/>
        </w:rPr>
        <w:t>ה</w:t>
      </w:r>
      <w:r w:rsidRPr="00C444BF">
        <w:rPr>
          <w:rFonts w:cs="Arial"/>
          <w:rtl/>
        </w:rPr>
        <w:t xml:space="preserve">איש </w:t>
      </w:r>
      <w:r w:rsidR="00B45A36">
        <w:rPr>
          <w:rFonts w:cs="Arial" w:hint="cs"/>
          <w:rtl/>
        </w:rPr>
        <w:t>ה</w:t>
      </w:r>
      <w:r w:rsidRPr="00C444BF">
        <w:rPr>
          <w:rFonts w:cs="Arial"/>
          <w:rtl/>
        </w:rPr>
        <w:t>ישראל</w:t>
      </w:r>
      <w:r w:rsidR="00B45A36">
        <w:rPr>
          <w:rFonts w:cs="Arial" w:hint="cs"/>
          <w:rtl/>
        </w:rPr>
        <w:t>י</w:t>
      </w:r>
      <w:r w:rsidRPr="00C444BF">
        <w:rPr>
          <w:rFonts w:cs="Arial"/>
          <w:rtl/>
        </w:rPr>
        <w:t xml:space="preserve"> ו</w:t>
      </w:r>
      <w:r w:rsidR="00B45A36">
        <w:rPr>
          <w:rFonts w:cs="Arial" w:hint="cs"/>
          <w:rtl/>
        </w:rPr>
        <w:t>ה</w:t>
      </w:r>
      <w:r w:rsidRPr="00C444BF">
        <w:rPr>
          <w:rFonts w:cs="Arial"/>
          <w:rtl/>
        </w:rPr>
        <w:t xml:space="preserve">אישה </w:t>
      </w:r>
      <w:r w:rsidR="00B45A36">
        <w:rPr>
          <w:rFonts w:cs="Arial" w:hint="cs"/>
          <w:rtl/>
        </w:rPr>
        <w:t>ה</w:t>
      </w:r>
      <w:r w:rsidRPr="00C444BF">
        <w:rPr>
          <w:rFonts w:cs="Arial"/>
          <w:rtl/>
        </w:rPr>
        <w:t>מדיינית בנקיטת פעולה אלימה. הוא עושה זאת מבלי שקיבל סמכות מפורשת, מבלי שנערך בירור, וללא מעורבות של מערכת השיפוט שהתבקשה לפעול זמן קצר קודם לכן. תגובתו נעשית מול הציבור, ונראה שהיא תולדה של מצב שבו ההנהגה עומדת מנגד</w:t>
      </w:r>
      <w:r w:rsidRPr="00C444BF">
        <w:rPr>
          <w:rFonts w:cs="Arial"/>
        </w:rPr>
        <w:t>.</w:t>
      </w:r>
    </w:p>
    <w:p w14:paraId="55C3CA89" w14:textId="558FB45A" w:rsidR="00B444CB" w:rsidRDefault="006A7182" w:rsidP="00B444CB">
      <w:pPr>
        <w:jc w:val="both"/>
        <w:rPr>
          <w:rFonts w:cs="Arial"/>
          <w:rtl/>
        </w:rPr>
      </w:pPr>
      <w:r w:rsidRPr="006A7182">
        <w:rPr>
          <w:rFonts w:cs="Arial"/>
          <w:rtl/>
        </w:rPr>
        <w:t xml:space="preserve">ברם, </w:t>
      </w:r>
      <w:r w:rsidR="00A460A1">
        <w:rPr>
          <w:rFonts w:cs="Arial" w:hint="cs"/>
          <w:rtl/>
        </w:rPr>
        <w:t>התורה מציגה את מעשהו של פנחס באור חיובי כבר באותו הפסוק</w:t>
      </w:r>
      <w:r w:rsidRPr="006A7182">
        <w:rPr>
          <w:rFonts w:cs="Arial"/>
          <w:rtl/>
        </w:rPr>
        <w:t xml:space="preserve">. </w:t>
      </w:r>
      <w:r w:rsidR="00B444CB" w:rsidRPr="00B444CB">
        <w:rPr>
          <w:rFonts w:cs="Arial"/>
          <w:rtl/>
        </w:rPr>
        <w:t xml:space="preserve">מיד לאחר מעשהו של פנחס, התורה מציינת שהמגפה נעצרת. מדובר במגפה הקטלנית ביותר שאירעה לבני ישראל במדבר, ובה נהרגו עשרים וארבעה אלף </w:t>
      </w:r>
      <w:r w:rsidR="004F0A21">
        <w:rPr>
          <w:rFonts w:cs="Arial" w:hint="cs"/>
          <w:rtl/>
        </w:rPr>
        <w:t>אנשים</w:t>
      </w:r>
      <w:r w:rsidR="00B444CB" w:rsidRPr="00B444CB">
        <w:rPr>
          <w:rFonts w:cs="Arial"/>
          <w:rtl/>
        </w:rPr>
        <w:t>. העובדה שדווקא מעשה זה הביא לסיומה מעניקה לו תוקף בדיעבד ומצביעה על האפקטיביות שלו</w:t>
      </w:r>
      <w:r w:rsidR="00974D92">
        <w:rPr>
          <w:rFonts w:cs="Arial" w:hint="cs"/>
          <w:rtl/>
        </w:rPr>
        <w:t>.</w:t>
      </w:r>
    </w:p>
    <w:p w14:paraId="3FAB9DFB" w14:textId="6363F285" w:rsidR="009C7512" w:rsidRPr="009C7512" w:rsidRDefault="009C7512" w:rsidP="009C7512">
      <w:pPr>
        <w:jc w:val="both"/>
        <w:rPr>
          <w:rFonts w:cs="Arial"/>
          <w:rtl/>
        </w:rPr>
      </w:pPr>
      <w:r w:rsidRPr="009C7512">
        <w:rPr>
          <w:rFonts w:cs="Arial"/>
          <w:rtl/>
        </w:rPr>
        <w:t>בנוסף לעצירת המגפה, התורה מתארת את תגובת ה' למעשה של פנחס</w:t>
      </w:r>
      <w:r>
        <w:rPr>
          <w:rFonts w:cs="Arial" w:hint="cs"/>
          <w:rtl/>
        </w:rPr>
        <w:t>.</w:t>
      </w:r>
      <w:r w:rsidR="00F75C19">
        <w:rPr>
          <w:rFonts w:cs="Arial" w:hint="cs"/>
          <w:rtl/>
        </w:rPr>
        <w:t xml:space="preserve"> ה' אומר שהוא זה שפייס אותו ומנע ממנו לכלות את העם. </w:t>
      </w:r>
      <w:r w:rsidR="00E67435">
        <w:rPr>
          <w:rFonts w:cs="Arial" w:hint="cs"/>
          <w:rtl/>
        </w:rPr>
        <w:t>עקב כך ה' מעניק לפנחס שתי מתנות</w:t>
      </w:r>
      <w:r w:rsidRPr="009C7512">
        <w:rPr>
          <w:rFonts w:cs="Arial"/>
          <w:rtl/>
        </w:rPr>
        <w:t>: ברית שלום ו</w:t>
      </w:r>
      <w:r w:rsidR="0013571A">
        <w:rPr>
          <w:rFonts w:cs="Arial" w:hint="cs"/>
          <w:rtl/>
        </w:rPr>
        <w:t>כהונת עולם</w:t>
      </w:r>
      <w:r w:rsidRPr="009C7512">
        <w:rPr>
          <w:rFonts w:cs="Arial"/>
          <w:rtl/>
        </w:rPr>
        <w:t xml:space="preserve">. אם ה' מברך ומעניק תגמול על פעולה מסוימת, קשה לראות בה פעולה שלילית. מבחינה לוגית פשוטה, מדובר באישור </w:t>
      </w:r>
      <w:r w:rsidR="00280723">
        <w:rPr>
          <w:rFonts w:cs="Arial" w:hint="cs"/>
          <w:rtl/>
        </w:rPr>
        <w:t>-לוהי</w:t>
      </w:r>
      <w:r w:rsidRPr="009C7512">
        <w:rPr>
          <w:rFonts w:cs="Arial"/>
          <w:rtl/>
        </w:rPr>
        <w:t xml:space="preserve"> מלא למעשה.</w:t>
      </w:r>
    </w:p>
    <w:p w14:paraId="77AC7CAF" w14:textId="31370CA0" w:rsidR="008463BC" w:rsidRPr="008463BC" w:rsidRDefault="008463BC" w:rsidP="005F5BB2">
      <w:pPr>
        <w:jc w:val="both"/>
        <w:rPr>
          <w:rFonts w:cs="Arial"/>
        </w:rPr>
      </w:pPr>
      <w:r w:rsidRPr="008463BC">
        <w:rPr>
          <w:rFonts w:cs="Arial"/>
          <w:rtl/>
        </w:rPr>
        <w:t xml:space="preserve">מהאופן שבו התורה מציגה את מעשהו של פנחס, עולה כי יש מקום להכיר </w:t>
      </w:r>
      <w:r>
        <w:rPr>
          <w:rFonts w:cs="Arial" w:hint="cs"/>
          <w:rtl/>
        </w:rPr>
        <w:t>בדרך הפעולה שלו כ</w:t>
      </w:r>
      <w:r w:rsidRPr="008463BC">
        <w:rPr>
          <w:rFonts w:cs="Arial"/>
          <w:rtl/>
        </w:rPr>
        <w:t xml:space="preserve">אפשרית אך רק בנסיבות קצה. השכר שניתן לו, יחד עם דברי ההערכה של ה', מצביעים על כך שבמקרה זה, </w:t>
      </w:r>
      <w:r>
        <w:rPr>
          <w:rFonts w:cs="Arial" w:hint="cs"/>
          <w:rtl/>
        </w:rPr>
        <w:t xml:space="preserve">הפעולה בצורה קנאית </w:t>
      </w:r>
      <w:r w:rsidR="00551D0F">
        <w:rPr>
          <w:rFonts w:cs="Arial" w:hint="cs"/>
          <w:rtl/>
        </w:rPr>
        <w:t>היית נצרכת.</w:t>
      </w:r>
      <w:r w:rsidR="005F5BB2">
        <w:rPr>
          <w:rFonts w:cs="Arial" w:hint="cs"/>
          <w:rtl/>
        </w:rPr>
        <w:t xml:space="preserve"> </w:t>
      </w:r>
      <w:r w:rsidRPr="008463BC">
        <w:rPr>
          <w:rFonts w:cs="Arial"/>
          <w:rtl/>
        </w:rPr>
        <w:t xml:space="preserve">פנחס פועל תוך עקיפת המערכת ההיררכית, ללא תהליך מסודר וללא מינוי פורמלי. אלא שהוא עושה זאת בזמן שבו המערכת עצמה חדלה מלתפקד: מגפה קטלנית משתוללת, </w:t>
      </w:r>
      <w:r w:rsidR="00895821">
        <w:rPr>
          <w:rFonts w:cs="Arial" w:hint="cs"/>
          <w:rtl/>
        </w:rPr>
        <w:t xml:space="preserve">כשבמקביל </w:t>
      </w:r>
      <w:r w:rsidR="000D3D55">
        <w:rPr>
          <w:rFonts w:cs="Arial" w:hint="cs"/>
          <w:rtl/>
        </w:rPr>
        <w:t xml:space="preserve">ישנם אנשים שעדיין </w:t>
      </w:r>
      <w:r w:rsidR="00094E03">
        <w:rPr>
          <w:rFonts w:cs="Arial" w:hint="cs"/>
          <w:rtl/>
        </w:rPr>
        <w:t>חוטאים בצורה פומבית</w:t>
      </w:r>
      <w:r w:rsidRPr="008463BC">
        <w:rPr>
          <w:rFonts w:cs="Arial"/>
          <w:rtl/>
        </w:rPr>
        <w:t xml:space="preserve">. המעשה של פנחס, </w:t>
      </w:r>
      <w:r w:rsidR="005F5BB2">
        <w:rPr>
          <w:rFonts w:cs="Arial" w:hint="cs"/>
          <w:rtl/>
        </w:rPr>
        <w:t>נת</w:t>
      </w:r>
      <w:r w:rsidR="008036A1">
        <w:rPr>
          <w:rFonts w:cs="Arial" w:hint="cs"/>
          <w:rtl/>
        </w:rPr>
        <w:t xml:space="preserve">פס </w:t>
      </w:r>
      <w:r w:rsidRPr="008463BC">
        <w:rPr>
          <w:rFonts w:cs="Arial"/>
          <w:rtl/>
        </w:rPr>
        <w:t>כתגובה הכרחית למצב שאין לו מענה אחר</w:t>
      </w:r>
      <w:r w:rsidRPr="008463BC">
        <w:rPr>
          <w:rFonts w:cs="Arial"/>
          <w:lang w:val="en-IL"/>
        </w:rPr>
        <w:t>.</w:t>
      </w:r>
    </w:p>
    <w:p w14:paraId="551E5D3B" w14:textId="5D55FB4C" w:rsidR="00D36CC2" w:rsidRDefault="008806F9" w:rsidP="00376390">
      <w:pPr>
        <w:jc w:val="both"/>
        <w:rPr>
          <w:rFonts w:cs="Arial"/>
          <w:rtl/>
        </w:rPr>
      </w:pPr>
      <w:r w:rsidRPr="008806F9">
        <w:rPr>
          <w:rFonts w:cs="Arial"/>
          <w:rtl/>
        </w:rPr>
        <w:t>נראה כי חז"ל</w:t>
      </w:r>
      <w:r w:rsidR="00F724FD">
        <w:rPr>
          <w:rStyle w:val="FootnoteReference"/>
          <w:rFonts w:cs="Arial"/>
          <w:rtl/>
        </w:rPr>
        <w:footnoteReference w:id="3"/>
      </w:r>
      <w:r w:rsidRPr="008806F9">
        <w:rPr>
          <w:rFonts w:cs="Arial"/>
          <w:rtl/>
        </w:rPr>
        <w:t xml:space="preserve"> ביקשו לרסן את האופי </w:t>
      </w:r>
      <w:r>
        <w:rPr>
          <w:rFonts w:cs="Arial" w:hint="cs"/>
          <w:rtl/>
        </w:rPr>
        <w:t>המהפכני</w:t>
      </w:r>
      <w:r w:rsidRPr="008806F9">
        <w:rPr>
          <w:rFonts w:cs="Arial"/>
          <w:rtl/>
        </w:rPr>
        <w:t xml:space="preserve"> וה</w:t>
      </w:r>
      <w:r w:rsidR="002B779B">
        <w:rPr>
          <w:rFonts w:cs="Arial" w:hint="cs"/>
          <w:rtl/>
        </w:rPr>
        <w:t xml:space="preserve">אנטי </w:t>
      </w:r>
      <w:r w:rsidRPr="008806F9">
        <w:rPr>
          <w:rFonts w:cs="Arial"/>
          <w:rtl/>
        </w:rPr>
        <w:t>ממסדי של מעשה פנחס</w:t>
      </w:r>
      <w:r>
        <w:rPr>
          <w:rFonts w:cs="Arial" w:hint="cs"/>
          <w:rtl/>
        </w:rPr>
        <w:t>.</w:t>
      </w:r>
      <w:r w:rsidR="007714D4">
        <w:rPr>
          <w:rFonts w:cs="Arial" w:hint="cs"/>
          <w:rtl/>
        </w:rPr>
        <w:t xml:space="preserve"> לשם כך, הם משבצים את המעשה הזה כחלק מההלכה, וקובעים כי מי שבועל אישה נוכרית, קנאים פוגעים בו. </w:t>
      </w:r>
      <w:r w:rsidR="00432A96">
        <w:rPr>
          <w:rFonts w:cs="Arial" w:hint="cs"/>
          <w:rtl/>
        </w:rPr>
        <w:t>יוצא על פי זה שפנחס פעל על פי ההלכה.</w:t>
      </w:r>
      <w:r w:rsidR="00376390">
        <w:rPr>
          <w:rFonts w:cs="Arial" w:hint="cs"/>
          <w:rtl/>
        </w:rPr>
        <w:t xml:space="preserve"> </w:t>
      </w:r>
      <w:r w:rsidR="00376390" w:rsidRPr="00376390">
        <w:rPr>
          <w:rFonts w:cs="Arial"/>
          <w:rtl/>
        </w:rPr>
        <w:t xml:space="preserve">לא מדובר ביוזמה קפריזית </w:t>
      </w:r>
      <w:r w:rsidR="00376390">
        <w:rPr>
          <w:rFonts w:cs="Arial" w:hint="cs"/>
          <w:rtl/>
        </w:rPr>
        <w:t xml:space="preserve">שפנחס עשה </w:t>
      </w:r>
      <w:r w:rsidR="00376390" w:rsidRPr="00376390">
        <w:rPr>
          <w:rFonts w:cs="Arial"/>
          <w:rtl/>
        </w:rPr>
        <w:t>על דעת עצמו, אלא ביישום ישיר של דין קיים. פנחס איננו חורג מהחוק – הוא פשוט מוציא אותו לפועל. הוא קנאי</w:t>
      </w:r>
      <w:r w:rsidR="00376390">
        <w:rPr>
          <w:rFonts w:cs="Arial" w:hint="cs"/>
          <w:rtl/>
        </w:rPr>
        <w:t xml:space="preserve"> ומכוח זה היה עליו להרוג את ה</w:t>
      </w:r>
      <w:r w:rsidR="00673A3A">
        <w:rPr>
          <w:rFonts w:cs="Arial" w:hint="cs"/>
          <w:rtl/>
        </w:rPr>
        <w:t>אנשים ה</w:t>
      </w:r>
      <w:r w:rsidR="00376390">
        <w:rPr>
          <w:rFonts w:cs="Arial" w:hint="cs"/>
          <w:rtl/>
        </w:rPr>
        <w:t>חוטאים.</w:t>
      </w:r>
    </w:p>
    <w:p w14:paraId="28C393E0" w14:textId="56A5B068" w:rsidR="00CA6234" w:rsidRDefault="00AB7179" w:rsidP="00376390">
      <w:pPr>
        <w:jc w:val="both"/>
        <w:rPr>
          <w:rFonts w:cs="Arial"/>
          <w:rtl/>
        </w:rPr>
      </w:pPr>
      <w:r>
        <w:rPr>
          <w:rFonts w:cs="Arial" w:hint="cs"/>
          <w:rtl/>
        </w:rPr>
        <w:t xml:space="preserve">כמו כן, </w:t>
      </w:r>
      <w:r w:rsidR="00CA6234">
        <w:rPr>
          <w:rFonts w:cs="Arial" w:hint="cs"/>
          <w:rtl/>
        </w:rPr>
        <w:t xml:space="preserve">חז"ל </w:t>
      </w:r>
      <w:r>
        <w:rPr>
          <w:rFonts w:cs="Arial" w:hint="cs"/>
          <w:rtl/>
        </w:rPr>
        <w:t xml:space="preserve">מגבילים </w:t>
      </w:r>
      <w:r w:rsidR="00CA6234">
        <w:rPr>
          <w:rFonts w:cs="Arial" w:hint="cs"/>
          <w:rtl/>
        </w:rPr>
        <w:t xml:space="preserve">את הכלל הזה וקובעים </w:t>
      </w:r>
      <w:r w:rsidR="002B779B">
        <w:rPr>
          <w:rFonts w:cs="Arial" w:hint="cs"/>
          <w:rtl/>
        </w:rPr>
        <w:t xml:space="preserve">כי </w:t>
      </w:r>
      <w:r w:rsidR="00C6574B">
        <w:rPr>
          <w:rFonts w:cs="Arial" w:hint="cs"/>
          <w:rtl/>
        </w:rPr>
        <w:t xml:space="preserve">לא מורים בפועל למי שרוצה ליישם את </w:t>
      </w:r>
      <w:r w:rsidR="00386C65">
        <w:rPr>
          <w:rFonts w:cs="Arial" w:hint="cs"/>
          <w:rtl/>
        </w:rPr>
        <w:t>הדין הזה</w:t>
      </w:r>
      <w:r w:rsidR="00C6574B">
        <w:rPr>
          <w:rFonts w:cs="Arial" w:hint="cs"/>
          <w:rtl/>
        </w:rPr>
        <w:t xml:space="preserve"> לעשות זאת. כך למשל, אם פנחס היה פונה למשה ושואל אותו האם להרוג את האיש החוטא, תשובתו של משה הייתה צריכה להיות לא.</w:t>
      </w:r>
    </w:p>
    <w:p w14:paraId="340A84B8" w14:textId="53372408" w:rsidR="00030B0A" w:rsidRDefault="003140C2" w:rsidP="001A5665">
      <w:pPr>
        <w:jc w:val="both"/>
        <w:rPr>
          <w:rFonts w:cs="Arial"/>
          <w:rtl/>
        </w:rPr>
      </w:pPr>
      <w:r w:rsidRPr="003140C2">
        <w:rPr>
          <w:rFonts w:cs="Arial"/>
          <w:rtl/>
        </w:rPr>
        <w:t>חז"ל אפוא מבקשים להלך בין הטיפות:</w:t>
      </w:r>
      <w:r>
        <w:rPr>
          <w:rFonts w:cs="Arial" w:hint="cs"/>
          <w:rtl/>
        </w:rPr>
        <w:t xml:space="preserve"> </w:t>
      </w:r>
      <w:r w:rsidR="00895E91">
        <w:rPr>
          <w:rFonts w:cs="Arial" w:hint="cs"/>
          <w:rtl/>
        </w:rPr>
        <w:t>מצד אחד, טענת חז"ל היא שפנחס פעל על פי ההלכה. הם לא מוכנים לקבל את זה שהאדם יעבור על ההלכה ויבצע רצח וזה יהיה בסדר. על כן, חייבים לומר שההלכה מצדיקה את המעשה של פנחס.</w:t>
      </w:r>
      <w:r w:rsidR="001A5665">
        <w:rPr>
          <w:rFonts w:cs="Arial" w:hint="cs"/>
          <w:rtl/>
        </w:rPr>
        <w:t xml:space="preserve"> </w:t>
      </w:r>
      <w:r w:rsidR="001E6951">
        <w:rPr>
          <w:rFonts w:cs="Arial" w:hint="cs"/>
          <w:rtl/>
        </w:rPr>
        <w:t>ה</w:t>
      </w:r>
      <w:r w:rsidR="001A5665" w:rsidRPr="001A5665">
        <w:rPr>
          <w:rFonts w:cs="Arial"/>
          <w:rtl/>
        </w:rPr>
        <w:t>הכרה בפנחס כגיבור דתי מחייבת לטעון שמעשיו תואמים את ההלכה. לפיכך, הם מציבים את מעשהו של פנחס כחלק מהדין</w:t>
      </w:r>
      <w:r w:rsidR="001E6951">
        <w:rPr>
          <w:rFonts w:cs="Arial" w:hint="cs"/>
          <w:rtl/>
        </w:rPr>
        <w:t>.</w:t>
      </w:r>
    </w:p>
    <w:p w14:paraId="1B9BBA5C" w14:textId="5AED0000" w:rsidR="003A39F1" w:rsidRDefault="003A39F1" w:rsidP="003A39F1">
      <w:pPr>
        <w:jc w:val="both"/>
        <w:rPr>
          <w:rFonts w:cs="Arial"/>
          <w:rtl/>
        </w:rPr>
      </w:pPr>
      <w:r w:rsidRPr="003A39F1">
        <w:rPr>
          <w:rFonts w:cs="Arial"/>
          <w:rtl/>
        </w:rPr>
        <w:t xml:space="preserve">ומצד שני — דווקא משום שיש כאן פתח הלכתי, עולה החשש שמא אנשים ינצלו אותו כדי להצדיק פעולות חמורות. אם תישמע מכאן לגיטימציה כללית לפעול מתוך קנאות דתית, ייווצר מדרון מסוכן שבו </w:t>
      </w:r>
      <w:r w:rsidRPr="003A39F1">
        <w:rPr>
          <w:rFonts w:cs="Arial"/>
          <w:rtl/>
        </w:rPr>
        <w:lastRenderedPageBreak/>
        <w:t xml:space="preserve">כל אדם יראה את עצמו כשליח </w:t>
      </w:r>
      <w:r w:rsidR="001811E0">
        <w:rPr>
          <w:rFonts w:cs="Arial" w:hint="cs"/>
          <w:rtl/>
        </w:rPr>
        <w:t>-</w:t>
      </w:r>
      <w:r w:rsidRPr="003A39F1">
        <w:rPr>
          <w:rFonts w:cs="Arial"/>
          <w:rtl/>
        </w:rPr>
        <w:t>לוהי, ויפעל באלימות בשם התורה. חז"ל מודעים היטב לסכנה הזו, ולכן הם מצמצמים את האפשרות לממש את הדין הלכה למעשה</w:t>
      </w:r>
      <w:r>
        <w:rPr>
          <w:rFonts w:cs="Arial" w:hint="cs"/>
          <w:rtl/>
        </w:rPr>
        <w:t>.</w:t>
      </w:r>
    </w:p>
    <w:p w14:paraId="7E75D559" w14:textId="77777777" w:rsidR="00DF55E1" w:rsidRPr="00DF55E1" w:rsidRDefault="00DF55E1" w:rsidP="00DF55E1">
      <w:pPr>
        <w:jc w:val="both"/>
        <w:rPr>
          <w:rFonts w:cs="Arial"/>
          <w:lang w:val="en-IL"/>
        </w:rPr>
      </w:pPr>
      <w:r w:rsidRPr="00DF55E1">
        <w:rPr>
          <w:rFonts w:cs="Arial"/>
          <w:rtl/>
          <w:lang w:val="en-IL"/>
        </w:rPr>
        <w:t>ההלכה, ככלל, נועדה להדריך את האדם בכל מצב סביר ולהעניק לו מסלול פעולה ברור. אך ישנם מצבים חריגים, נדירים, שבהם הצירוף המדויק של הנסיבות מעמיד את האדם בפני שאלה שאין לה מענה מובהק על פי שורת ההלכה. במצבים חמקמקים אלה, עלול להיווצר מרחב שבו האדם נדרש להכריע מתוך עצמו, ולפעול לפי מה שהוא סבור כרצון ה' — גם אם אין לו לכך גיבוי פורמלי</w:t>
      </w:r>
      <w:r w:rsidRPr="00DF55E1">
        <w:rPr>
          <w:rFonts w:cs="Arial"/>
          <w:lang w:val="en-IL"/>
        </w:rPr>
        <w:t>.</w:t>
      </w:r>
    </w:p>
    <w:p w14:paraId="0986B750" w14:textId="397505E8" w:rsidR="00DF55E1" w:rsidRPr="00DF55E1" w:rsidRDefault="00DF55E1" w:rsidP="00DF55E1">
      <w:pPr>
        <w:jc w:val="both"/>
        <w:rPr>
          <w:rFonts w:cs="Arial"/>
          <w:lang w:val="en-IL"/>
        </w:rPr>
      </w:pPr>
      <w:r w:rsidRPr="00DF55E1">
        <w:rPr>
          <w:rFonts w:cs="Arial"/>
          <w:rtl/>
          <w:lang w:val="en-IL"/>
        </w:rPr>
        <w:t>אך מי שבוחר לפעול מתוך קנאות, מחוץ למסלול ההלכתי הרגיל, חייב לדעת: האחריות למעשה מוטלת עליו לבדו. הוא איננו רשאי לומר "כך צוויתי" — משום שאין כאן ציווי. המעשה ייבחן לפי תוצאותיו, לטוב ולרע. חז"ל מלמדים: הפתח לקנאות קיים, אך רק למי שמוכן לשאת על כתפיו את מלוא האחריות, ולפעול בלי גיבוי, בלי הבטחה, ובלי לדעת כיצד יישפט מעשהו</w:t>
      </w:r>
      <w:r w:rsidRPr="00DF55E1">
        <w:rPr>
          <w:rFonts w:cs="Arial"/>
          <w:lang w:val="en-IL"/>
        </w:rPr>
        <w:t>.</w:t>
      </w:r>
    </w:p>
    <w:p w14:paraId="546F4045" w14:textId="68D6C554" w:rsidR="00895E91" w:rsidRPr="00DF55E1" w:rsidRDefault="00DC3393" w:rsidP="00DC3393">
      <w:pPr>
        <w:jc w:val="both"/>
        <w:rPr>
          <w:rFonts w:cs="Arial"/>
          <w:rtl/>
          <w:lang w:val="en-IL"/>
        </w:rPr>
      </w:pPr>
      <w:r w:rsidRPr="00DC3393">
        <w:rPr>
          <w:rFonts w:cs="Arial"/>
          <w:rtl/>
          <w:lang w:val="en-IL"/>
        </w:rPr>
        <w:t>כך גם מסבירה הגמרא את העיקרון שאין מורים כך להלכה. אם פנחס היה ניגש להרוג את זמרי ובאותו רגע זמרי היה חדל ממעשהו, פנחס היה נחשב לרוצח וחייב מיתה</w:t>
      </w:r>
      <w:r w:rsidR="00251EC7">
        <w:rPr>
          <w:rStyle w:val="FootnoteReference"/>
          <w:rFonts w:cs="Arial"/>
          <w:rtl/>
          <w:lang w:val="en-IL"/>
        </w:rPr>
        <w:footnoteReference w:id="4"/>
      </w:r>
      <w:r w:rsidRPr="00DC3393">
        <w:rPr>
          <w:rFonts w:cs="Arial"/>
          <w:rtl/>
          <w:lang w:val="en-IL"/>
        </w:rPr>
        <w:t xml:space="preserve">. ואם היה זמרי מקדים והורג את פנחס, הוא לא היה נענש, שהרי הרג את מי שבא להורגו. כלומר, עצם המעשה של הקנאי עומד כל העת על חודו של רגע, תוצאה, והקשר. הסיכון </w:t>
      </w:r>
      <w:r>
        <w:rPr>
          <w:rFonts w:cs="Arial" w:hint="cs"/>
          <w:rtl/>
          <w:lang w:val="en-IL"/>
        </w:rPr>
        <w:t xml:space="preserve">הוא גם פיזי, אך גם הלכתי. </w:t>
      </w:r>
      <w:r w:rsidRPr="00DC3393">
        <w:rPr>
          <w:rFonts w:cs="Arial"/>
          <w:rtl/>
          <w:lang w:val="en-IL"/>
        </w:rPr>
        <w:t>המסר ברור: הקנאי נוטל על עצמו אחריות כבדה שאין לה עוגן ברור מראש, והסכנה שהוא נושא היא רבה מדי מכדי שמישהו אחר יוכל להורות לו לפעול.</w:t>
      </w:r>
    </w:p>
    <w:sectPr w:rsidR="00895E91" w:rsidRPr="00DF55E1" w:rsidSect="00E6779E">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680578" w14:textId="77777777" w:rsidR="00A059EF" w:rsidRDefault="00A059EF" w:rsidP="007F0B7E">
      <w:pPr>
        <w:spacing w:after="0" w:line="240" w:lineRule="auto"/>
      </w:pPr>
      <w:r>
        <w:separator/>
      </w:r>
    </w:p>
  </w:endnote>
  <w:endnote w:type="continuationSeparator" w:id="0">
    <w:p w14:paraId="56776296" w14:textId="77777777" w:rsidR="00A059EF" w:rsidRDefault="00A059EF" w:rsidP="007F0B7E">
      <w:pPr>
        <w:spacing w:after="0" w:line="240" w:lineRule="auto"/>
      </w:pPr>
      <w:r>
        <w:continuationSeparator/>
      </w:r>
    </w:p>
  </w:endnote>
  <w:endnote w:type="continuationNotice" w:id="1">
    <w:p w14:paraId="5AD340AB" w14:textId="77777777" w:rsidR="00A059EF" w:rsidRDefault="00A059E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4246B6" w14:textId="77777777" w:rsidR="00A059EF" w:rsidRDefault="00A059EF" w:rsidP="007F0B7E">
      <w:pPr>
        <w:spacing w:after="0" w:line="240" w:lineRule="auto"/>
      </w:pPr>
      <w:r>
        <w:separator/>
      </w:r>
    </w:p>
  </w:footnote>
  <w:footnote w:type="continuationSeparator" w:id="0">
    <w:p w14:paraId="527F4357" w14:textId="77777777" w:rsidR="00A059EF" w:rsidRDefault="00A059EF" w:rsidP="007F0B7E">
      <w:pPr>
        <w:spacing w:after="0" w:line="240" w:lineRule="auto"/>
      </w:pPr>
      <w:r>
        <w:continuationSeparator/>
      </w:r>
    </w:p>
  </w:footnote>
  <w:footnote w:type="continuationNotice" w:id="1">
    <w:p w14:paraId="03D06B1F" w14:textId="77777777" w:rsidR="00A059EF" w:rsidRDefault="00A059EF">
      <w:pPr>
        <w:spacing w:after="0" w:line="240" w:lineRule="auto"/>
      </w:pPr>
    </w:p>
  </w:footnote>
  <w:footnote w:id="2">
    <w:p w14:paraId="437ADF0E" w14:textId="03E8ADC5" w:rsidR="00D8200A" w:rsidRDefault="00D8200A">
      <w:pPr>
        <w:pStyle w:val="FootnoteText"/>
        <w:rPr>
          <w:rFonts w:hint="cs"/>
        </w:rPr>
      </w:pPr>
      <w:r>
        <w:rPr>
          <w:rStyle w:val="FootnoteReference"/>
        </w:rPr>
        <w:footnoteRef/>
      </w:r>
      <w:r>
        <w:rPr>
          <w:rtl/>
        </w:rPr>
        <w:t xml:space="preserve"> </w:t>
      </w:r>
      <w:r>
        <w:rPr>
          <w:rFonts w:hint="cs"/>
          <w:rtl/>
        </w:rPr>
        <w:t>ספר במדבר פרק כה</w:t>
      </w:r>
    </w:p>
  </w:footnote>
  <w:footnote w:id="3">
    <w:p w14:paraId="46968387" w14:textId="551F12C0" w:rsidR="00F724FD" w:rsidRDefault="00F724FD">
      <w:pPr>
        <w:pStyle w:val="FootnoteText"/>
        <w:rPr>
          <w:rFonts w:hint="cs"/>
        </w:rPr>
      </w:pPr>
      <w:r>
        <w:rPr>
          <w:rStyle w:val="FootnoteReference"/>
        </w:rPr>
        <w:footnoteRef/>
      </w:r>
      <w:r>
        <w:rPr>
          <w:rtl/>
        </w:rPr>
        <w:t xml:space="preserve"> </w:t>
      </w:r>
      <w:r>
        <w:rPr>
          <w:rFonts w:hint="cs"/>
          <w:rtl/>
        </w:rPr>
        <w:t>על פי הגמרא במסכת סנהדרין דף פב.</w:t>
      </w:r>
    </w:p>
  </w:footnote>
  <w:footnote w:id="4">
    <w:p w14:paraId="125D1B35" w14:textId="1D8279C7" w:rsidR="00251EC7" w:rsidRDefault="00251EC7">
      <w:pPr>
        <w:pStyle w:val="FootnoteText"/>
        <w:rPr>
          <w:rFonts w:hint="cs"/>
        </w:rPr>
      </w:pPr>
      <w:r>
        <w:rPr>
          <w:rStyle w:val="FootnoteReference"/>
        </w:rPr>
        <w:footnoteRef/>
      </w:r>
      <w:r>
        <w:rPr>
          <w:rtl/>
        </w:rPr>
        <w:t xml:space="preserve"> </w:t>
      </w:r>
      <w:r>
        <w:rPr>
          <w:rFonts w:hint="cs"/>
          <w:rtl/>
        </w:rPr>
        <w:t>הראב"ע</w:t>
      </w:r>
      <w:r w:rsidR="00E829E4">
        <w:rPr>
          <w:rFonts w:hint="cs"/>
          <w:rtl/>
        </w:rPr>
        <w:t xml:space="preserve"> (במדבר פרק כה פסוק</w:t>
      </w:r>
      <w:r w:rsidR="009C778D">
        <w:rPr>
          <w:rFonts w:hint="cs"/>
          <w:rtl/>
        </w:rPr>
        <w:t xml:space="preserve"> יב ד"ה </w:t>
      </w:r>
      <w:r w:rsidR="009C778D" w:rsidRPr="009C778D">
        <w:rPr>
          <w:rFonts w:cs="Arial"/>
          <w:rtl/>
        </w:rPr>
        <w:t>את בריתי שלום</w:t>
      </w:r>
      <w:r w:rsidR="00E829E4">
        <w:rPr>
          <w:rFonts w:hint="cs"/>
          <w:rtl/>
        </w:rPr>
        <w:t>)</w:t>
      </w:r>
      <w:r>
        <w:rPr>
          <w:rFonts w:hint="cs"/>
          <w:rtl/>
        </w:rPr>
        <w:t xml:space="preserve"> מסביר על פי ההיגיון הזה את ברית השלום שקיבל פנחס. פנחס הרג אדם ולכן הוא אמור לחשוש מנקמת דם.</w:t>
      </w:r>
      <w:r w:rsidR="00E829E4">
        <w:rPr>
          <w:rFonts w:hint="cs"/>
          <w:rtl/>
        </w:rPr>
        <w:t xml:space="preserve"> ברית השלום שה' מעניק לו, אמורה להגן עליו מנקמה שכזאת.</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51A"/>
    <w:rsid w:val="00000D64"/>
    <w:rsid w:val="00005788"/>
    <w:rsid w:val="0001175B"/>
    <w:rsid w:val="000124B9"/>
    <w:rsid w:val="0001727E"/>
    <w:rsid w:val="00020D74"/>
    <w:rsid w:val="0002371A"/>
    <w:rsid w:val="00026000"/>
    <w:rsid w:val="0002632F"/>
    <w:rsid w:val="00030B0A"/>
    <w:rsid w:val="00031E56"/>
    <w:rsid w:val="00033513"/>
    <w:rsid w:val="000375C3"/>
    <w:rsid w:val="000425EC"/>
    <w:rsid w:val="00050729"/>
    <w:rsid w:val="0005404C"/>
    <w:rsid w:val="000566A9"/>
    <w:rsid w:val="00056B8D"/>
    <w:rsid w:val="00063049"/>
    <w:rsid w:val="0006680C"/>
    <w:rsid w:val="0006706F"/>
    <w:rsid w:val="00077BDC"/>
    <w:rsid w:val="00081EC2"/>
    <w:rsid w:val="00086223"/>
    <w:rsid w:val="00094E03"/>
    <w:rsid w:val="000A01AC"/>
    <w:rsid w:val="000A340D"/>
    <w:rsid w:val="000C380E"/>
    <w:rsid w:val="000C52C0"/>
    <w:rsid w:val="000D294C"/>
    <w:rsid w:val="000D2FB6"/>
    <w:rsid w:val="000D3C09"/>
    <w:rsid w:val="000D3D55"/>
    <w:rsid w:val="000D41B2"/>
    <w:rsid w:val="000D6BA3"/>
    <w:rsid w:val="000E6422"/>
    <w:rsid w:val="000F5685"/>
    <w:rsid w:val="001004A7"/>
    <w:rsid w:val="00101825"/>
    <w:rsid w:val="00102919"/>
    <w:rsid w:val="001049CB"/>
    <w:rsid w:val="0011713B"/>
    <w:rsid w:val="00120BE0"/>
    <w:rsid w:val="00120E6C"/>
    <w:rsid w:val="00125EE0"/>
    <w:rsid w:val="0013571A"/>
    <w:rsid w:val="001375F5"/>
    <w:rsid w:val="00144E6D"/>
    <w:rsid w:val="00146EC1"/>
    <w:rsid w:val="00154C75"/>
    <w:rsid w:val="00165DF2"/>
    <w:rsid w:val="00173626"/>
    <w:rsid w:val="00173673"/>
    <w:rsid w:val="0017398F"/>
    <w:rsid w:val="00174D78"/>
    <w:rsid w:val="00176C63"/>
    <w:rsid w:val="00176ED3"/>
    <w:rsid w:val="001811E0"/>
    <w:rsid w:val="00186BFE"/>
    <w:rsid w:val="00190DA9"/>
    <w:rsid w:val="001947DE"/>
    <w:rsid w:val="00195516"/>
    <w:rsid w:val="001A4593"/>
    <w:rsid w:val="001A5665"/>
    <w:rsid w:val="001A77F6"/>
    <w:rsid w:val="001B23B0"/>
    <w:rsid w:val="001C01E2"/>
    <w:rsid w:val="001C4808"/>
    <w:rsid w:val="001C6818"/>
    <w:rsid w:val="001D125C"/>
    <w:rsid w:val="001D258F"/>
    <w:rsid w:val="001D5D02"/>
    <w:rsid w:val="001D5E3E"/>
    <w:rsid w:val="001D77CB"/>
    <w:rsid w:val="001E62CF"/>
    <w:rsid w:val="001E6951"/>
    <w:rsid w:val="00200FFC"/>
    <w:rsid w:val="0020211F"/>
    <w:rsid w:val="00203429"/>
    <w:rsid w:val="002131A0"/>
    <w:rsid w:val="0021655F"/>
    <w:rsid w:val="00224D92"/>
    <w:rsid w:val="00227FCD"/>
    <w:rsid w:val="002348CA"/>
    <w:rsid w:val="00237BD0"/>
    <w:rsid w:val="00243C7D"/>
    <w:rsid w:val="002454F2"/>
    <w:rsid w:val="0024586D"/>
    <w:rsid w:val="00245AD7"/>
    <w:rsid w:val="0024796D"/>
    <w:rsid w:val="00250BDD"/>
    <w:rsid w:val="00251EC7"/>
    <w:rsid w:val="00255A41"/>
    <w:rsid w:val="00255C7E"/>
    <w:rsid w:val="00261873"/>
    <w:rsid w:val="00262DAF"/>
    <w:rsid w:val="00280723"/>
    <w:rsid w:val="00282B2F"/>
    <w:rsid w:val="00283828"/>
    <w:rsid w:val="002A6B5B"/>
    <w:rsid w:val="002A7738"/>
    <w:rsid w:val="002B1480"/>
    <w:rsid w:val="002B177D"/>
    <w:rsid w:val="002B37F7"/>
    <w:rsid w:val="002B3923"/>
    <w:rsid w:val="002B779B"/>
    <w:rsid w:val="002C017B"/>
    <w:rsid w:val="002C069B"/>
    <w:rsid w:val="002C1761"/>
    <w:rsid w:val="002C4D5A"/>
    <w:rsid w:val="002C70F3"/>
    <w:rsid w:val="002D20AA"/>
    <w:rsid w:val="002F115B"/>
    <w:rsid w:val="002F3CB1"/>
    <w:rsid w:val="002F650C"/>
    <w:rsid w:val="00300D6F"/>
    <w:rsid w:val="00301AE5"/>
    <w:rsid w:val="00303484"/>
    <w:rsid w:val="003110BC"/>
    <w:rsid w:val="003140C2"/>
    <w:rsid w:val="00317ED8"/>
    <w:rsid w:val="003232CA"/>
    <w:rsid w:val="00324238"/>
    <w:rsid w:val="003312AB"/>
    <w:rsid w:val="0033574B"/>
    <w:rsid w:val="00341AFA"/>
    <w:rsid w:val="003449DE"/>
    <w:rsid w:val="003546AD"/>
    <w:rsid w:val="003569E3"/>
    <w:rsid w:val="00364A46"/>
    <w:rsid w:val="00376390"/>
    <w:rsid w:val="00377300"/>
    <w:rsid w:val="00384A44"/>
    <w:rsid w:val="00386C65"/>
    <w:rsid w:val="003916E1"/>
    <w:rsid w:val="00392D27"/>
    <w:rsid w:val="0039423E"/>
    <w:rsid w:val="00397059"/>
    <w:rsid w:val="003A1DD1"/>
    <w:rsid w:val="003A39F1"/>
    <w:rsid w:val="003B1601"/>
    <w:rsid w:val="003B3500"/>
    <w:rsid w:val="003B54A6"/>
    <w:rsid w:val="003C0C5F"/>
    <w:rsid w:val="003C2905"/>
    <w:rsid w:val="003D101B"/>
    <w:rsid w:val="003D6783"/>
    <w:rsid w:val="003D678F"/>
    <w:rsid w:val="003D7EB8"/>
    <w:rsid w:val="003E0BB9"/>
    <w:rsid w:val="003E1783"/>
    <w:rsid w:val="003E26A7"/>
    <w:rsid w:val="003E43EE"/>
    <w:rsid w:val="003E5D52"/>
    <w:rsid w:val="003E690B"/>
    <w:rsid w:val="003F195D"/>
    <w:rsid w:val="003F46E7"/>
    <w:rsid w:val="004040EF"/>
    <w:rsid w:val="004107AC"/>
    <w:rsid w:val="00410C10"/>
    <w:rsid w:val="00413632"/>
    <w:rsid w:val="00421A5C"/>
    <w:rsid w:val="00432A96"/>
    <w:rsid w:val="00437B19"/>
    <w:rsid w:val="0044375D"/>
    <w:rsid w:val="0044646C"/>
    <w:rsid w:val="00447D2E"/>
    <w:rsid w:val="00450918"/>
    <w:rsid w:val="004573CC"/>
    <w:rsid w:val="00463697"/>
    <w:rsid w:val="00464F0A"/>
    <w:rsid w:val="00472EB8"/>
    <w:rsid w:val="00482329"/>
    <w:rsid w:val="00487DE5"/>
    <w:rsid w:val="00491B13"/>
    <w:rsid w:val="00495AAB"/>
    <w:rsid w:val="00496E2E"/>
    <w:rsid w:val="0049770D"/>
    <w:rsid w:val="004B0394"/>
    <w:rsid w:val="004C372B"/>
    <w:rsid w:val="004C4C2F"/>
    <w:rsid w:val="004C7FD3"/>
    <w:rsid w:val="004E227C"/>
    <w:rsid w:val="004E40C6"/>
    <w:rsid w:val="004E5D08"/>
    <w:rsid w:val="004F0A21"/>
    <w:rsid w:val="0050223B"/>
    <w:rsid w:val="00513BD9"/>
    <w:rsid w:val="00524B1A"/>
    <w:rsid w:val="00526233"/>
    <w:rsid w:val="0053000F"/>
    <w:rsid w:val="00533161"/>
    <w:rsid w:val="00534333"/>
    <w:rsid w:val="005346BE"/>
    <w:rsid w:val="00546E44"/>
    <w:rsid w:val="00551D0F"/>
    <w:rsid w:val="0056314F"/>
    <w:rsid w:val="00566563"/>
    <w:rsid w:val="005828A3"/>
    <w:rsid w:val="005841AA"/>
    <w:rsid w:val="00591FB0"/>
    <w:rsid w:val="0059313D"/>
    <w:rsid w:val="005A7615"/>
    <w:rsid w:val="005B2D3C"/>
    <w:rsid w:val="005B48A0"/>
    <w:rsid w:val="005C1C28"/>
    <w:rsid w:val="005C35E7"/>
    <w:rsid w:val="005C4756"/>
    <w:rsid w:val="005C4989"/>
    <w:rsid w:val="005C69A0"/>
    <w:rsid w:val="005C71EE"/>
    <w:rsid w:val="005D177F"/>
    <w:rsid w:val="005D4663"/>
    <w:rsid w:val="005D46D6"/>
    <w:rsid w:val="005E3164"/>
    <w:rsid w:val="005F5BB2"/>
    <w:rsid w:val="006056AF"/>
    <w:rsid w:val="0060774B"/>
    <w:rsid w:val="00610502"/>
    <w:rsid w:val="00623383"/>
    <w:rsid w:val="00624407"/>
    <w:rsid w:val="00626F33"/>
    <w:rsid w:val="0062753C"/>
    <w:rsid w:val="00636155"/>
    <w:rsid w:val="00636834"/>
    <w:rsid w:val="00660F59"/>
    <w:rsid w:val="006619A7"/>
    <w:rsid w:val="00662E14"/>
    <w:rsid w:val="00664907"/>
    <w:rsid w:val="00673A3A"/>
    <w:rsid w:val="006765C9"/>
    <w:rsid w:val="00677AED"/>
    <w:rsid w:val="00682AB3"/>
    <w:rsid w:val="00683A06"/>
    <w:rsid w:val="00692F09"/>
    <w:rsid w:val="00693EAA"/>
    <w:rsid w:val="00695D69"/>
    <w:rsid w:val="006A7182"/>
    <w:rsid w:val="006A782B"/>
    <w:rsid w:val="006B0284"/>
    <w:rsid w:val="006B52C8"/>
    <w:rsid w:val="006C2065"/>
    <w:rsid w:val="006C39ED"/>
    <w:rsid w:val="006D058B"/>
    <w:rsid w:val="006D2807"/>
    <w:rsid w:val="006D3A20"/>
    <w:rsid w:val="006D5944"/>
    <w:rsid w:val="006D690D"/>
    <w:rsid w:val="006E0F49"/>
    <w:rsid w:val="006E1BD4"/>
    <w:rsid w:val="006F103D"/>
    <w:rsid w:val="006F1782"/>
    <w:rsid w:val="006F1D53"/>
    <w:rsid w:val="006F4BF3"/>
    <w:rsid w:val="00711334"/>
    <w:rsid w:val="0071221C"/>
    <w:rsid w:val="0071252D"/>
    <w:rsid w:val="007163CF"/>
    <w:rsid w:val="007221D2"/>
    <w:rsid w:val="00725452"/>
    <w:rsid w:val="0074686C"/>
    <w:rsid w:val="00750785"/>
    <w:rsid w:val="00753255"/>
    <w:rsid w:val="00755D8D"/>
    <w:rsid w:val="007566D6"/>
    <w:rsid w:val="0076156E"/>
    <w:rsid w:val="00763222"/>
    <w:rsid w:val="007714D4"/>
    <w:rsid w:val="007718E3"/>
    <w:rsid w:val="007734B8"/>
    <w:rsid w:val="007770C8"/>
    <w:rsid w:val="007900E3"/>
    <w:rsid w:val="00793577"/>
    <w:rsid w:val="007956D3"/>
    <w:rsid w:val="007B0FDB"/>
    <w:rsid w:val="007B216A"/>
    <w:rsid w:val="007B6C9B"/>
    <w:rsid w:val="007C0391"/>
    <w:rsid w:val="007C2E02"/>
    <w:rsid w:val="007C54D7"/>
    <w:rsid w:val="007D422C"/>
    <w:rsid w:val="007D6483"/>
    <w:rsid w:val="007F0B7E"/>
    <w:rsid w:val="007F54CC"/>
    <w:rsid w:val="007F5A92"/>
    <w:rsid w:val="007F7024"/>
    <w:rsid w:val="008036A1"/>
    <w:rsid w:val="00804C0A"/>
    <w:rsid w:val="008071A1"/>
    <w:rsid w:val="00812F1B"/>
    <w:rsid w:val="0081501B"/>
    <w:rsid w:val="0081751E"/>
    <w:rsid w:val="00832F60"/>
    <w:rsid w:val="00841A70"/>
    <w:rsid w:val="00843FE9"/>
    <w:rsid w:val="008463BC"/>
    <w:rsid w:val="008523F6"/>
    <w:rsid w:val="00852D76"/>
    <w:rsid w:val="00862977"/>
    <w:rsid w:val="00862FCD"/>
    <w:rsid w:val="008710B1"/>
    <w:rsid w:val="008806F9"/>
    <w:rsid w:val="00884F7B"/>
    <w:rsid w:val="008874D6"/>
    <w:rsid w:val="00895821"/>
    <w:rsid w:val="00895E91"/>
    <w:rsid w:val="008A09D8"/>
    <w:rsid w:val="008B0D60"/>
    <w:rsid w:val="008B1E0B"/>
    <w:rsid w:val="008C02EB"/>
    <w:rsid w:val="008C511A"/>
    <w:rsid w:val="008D41D1"/>
    <w:rsid w:val="008D5221"/>
    <w:rsid w:val="008D52C5"/>
    <w:rsid w:val="008E5117"/>
    <w:rsid w:val="008E59AC"/>
    <w:rsid w:val="008E6D90"/>
    <w:rsid w:val="008F4E82"/>
    <w:rsid w:val="00900668"/>
    <w:rsid w:val="009048D2"/>
    <w:rsid w:val="00904F05"/>
    <w:rsid w:val="009165E5"/>
    <w:rsid w:val="009219CE"/>
    <w:rsid w:val="0092769F"/>
    <w:rsid w:val="009301D5"/>
    <w:rsid w:val="00932950"/>
    <w:rsid w:val="00932F95"/>
    <w:rsid w:val="0093585B"/>
    <w:rsid w:val="00942430"/>
    <w:rsid w:val="00943B86"/>
    <w:rsid w:val="00944B61"/>
    <w:rsid w:val="00945473"/>
    <w:rsid w:val="00960B20"/>
    <w:rsid w:val="00965BD9"/>
    <w:rsid w:val="00966184"/>
    <w:rsid w:val="00973F45"/>
    <w:rsid w:val="00974D92"/>
    <w:rsid w:val="009821AA"/>
    <w:rsid w:val="00983B51"/>
    <w:rsid w:val="00983F01"/>
    <w:rsid w:val="00991BE2"/>
    <w:rsid w:val="0099719F"/>
    <w:rsid w:val="009B0402"/>
    <w:rsid w:val="009B2488"/>
    <w:rsid w:val="009B3355"/>
    <w:rsid w:val="009B6720"/>
    <w:rsid w:val="009C1145"/>
    <w:rsid w:val="009C22DC"/>
    <w:rsid w:val="009C7512"/>
    <w:rsid w:val="009C778D"/>
    <w:rsid w:val="009C7954"/>
    <w:rsid w:val="009D4E13"/>
    <w:rsid w:val="009E1C4D"/>
    <w:rsid w:val="009E3856"/>
    <w:rsid w:val="009F52AF"/>
    <w:rsid w:val="009F7570"/>
    <w:rsid w:val="00A059EF"/>
    <w:rsid w:val="00A05E53"/>
    <w:rsid w:val="00A10288"/>
    <w:rsid w:val="00A10D66"/>
    <w:rsid w:val="00A12923"/>
    <w:rsid w:val="00A15662"/>
    <w:rsid w:val="00A249D8"/>
    <w:rsid w:val="00A34103"/>
    <w:rsid w:val="00A40708"/>
    <w:rsid w:val="00A416EB"/>
    <w:rsid w:val="00A42FCB"/>
    <w:rsid w:val="00A45F03"/>
    <w:rsid w:val="00A460A1"/>
    <w:rsid w:val="00A46720"/>
    <w:rsid w:val="00A50A95"/>
    <w:rsid w:val="00A51930"/>
    <w:rsid w:val="00A66F7D"/>
    <w:rsid w:val="00A728BE"/>
    <w:rsid w:val="00A7345A"/>
    <w:rsid w:val="00A743E0"/>
    <w:rsid w:val="00A74CEF"/>
    <w:rsid w:val="00A755DD"/>
    <w:rsid w:val="00A76EEB"/>
    <w:rsid w:val="00A815DB"/>
    <w:rsid w:val="00A82F59"/>
    <w:rsid w:val="00A85B8F"/>
    <w:rsid w:val="00A87BBF"/>
    <w:rsid w:val="00A91B98"/>
    <w:rsid w:val="00A91DA2"/>
    <w:rsid w:val="00A951B0"/>
    <w:rsid w:val="00A966C8"/>
    <w:rsid w:val="00AA32B1"/>
    <w:rsid w:val="00AA4E6C"/>
    <w:rsid w:val="00AA7B01"/>
    <w:rsid w:val="00AB4AA9"/>
    <w:rsid w:val="00AB50E7"/>
    <w:rsid w:val="00AB7179"/>
    <w:rsid w:val="00AC3EC2"/>
    <w:rsid w:val="00AC614F"/>
    <w:rsid w:val="00AC6406"/>
    <w:rsid w:val="00AC6C16"/>
    <w:rsid w:val="00AD08BA"/>
    <w:rsid w:val="00AD1723"/>
    <w:rsid w:val="00AD1BA9"/>
    <w:rsid w:val="00AD4CC3"/>
    <w:rsid w:val="00AE2525"/>
    <w:rsid w:val="00AE2874"/>
    <w:rsid w:val="00AE3F3B"/>
    <w:rsid w:val="00AF7F0C"/>
    <w:rsid w:val="00B05F4E"/>
    <w:rsid w:val="00B0612A"/>
    <w:rsid w:val="00B076DD"/>
    <w:rsid w:val="00B17041"/>
    <w:rsid w:val="00B24340"/>
    <w:rsid w:val="00B363F0"/>
    <w:rsid w:val="00B444CB"/>
    <w:rsid w:val="00B45A36"/>
    <w:rsid w:val="00B546F8"/>
    <w:rsid w:val="00B54FFF"/>
    <w:rsid w:val="00B551D9"/>
    <w:rsid w:val="00B569F9"/>
    <w:rsid w:val="00B56EFB"/>
    <w:rsid w:val="00B60175"/>
    <w:rsid w:val="00B61321"/>
    <w:rsid w:val="00B650FB"/>
    <w:rsid w:val="00B672A0"/>
    <w:rsid w:val="00BA3D71"/>
    <w:rsid w:val="00BA4930"/>
    <w:rsid w:val="00BA6A4B"/>
    <w:rsid w:val="00BC1445"/>
    <w:rsid w:val="00BD01AC"/>
    <w:rsid w:val="00BD167D"/>
    <w:rsid w:val="00BD6E31"/>
    <w:rsid w:val="00BF0294"/>
    <w:rsid w:val="00C00549"/>
    <w:rsid w:val="00C0342A"/>
    <w:rsid w:val="00C06C31"/>
    <w:rsid w:val="00C10B0C"/>
    <w:rsid w:val="00C11D37"/>
    <w:rsid w:val="00C14DE6"/>
    <w:rsid w:val="00C156DF"/>
    <w:rsid w:val="00C16610"/>
    <w:rsid w:val="00C2448F"/>
    <w:rsid w:val="00C25FE4"/>
    <w:rsid w:val="00C37E80"/>
    <w:rsid w:val="00C4143B"/>
    <w:rsid w:val="00C444BF"/>
    <w:rsid w:val="00C60B65"/>
    <w:rsid w:val="00C6574B"/>
    <w:rsid w:val="00C679E6"/>
    <w:rsid w:val="00C702AF"/>
    <w:rsid w:val="00C73287"/>
    <w:rsid w:val="00C73925"/>
    <w:rsid w:val="00C8715D"/>
    <w:rsid w:val="00C905CC"/>
    <w:rsid w:val="00C9378E"/>
    <w:rsid w:val="00C96A5D"/>
    <w:rsid w:val="00CA4863"/>
    <w:rsid w:val="00CA6234"/>
    <w:rsid w:val="00CB1F05"/>
    <w:rsid w:val="00CB551A"/>
    <w:rsid w:val="00CB6330"/>
    <w:rsid w:val="00CC77CE"/>
    <w:rsid w:val="00CD13D6"/>
    <w:rsid w:val="00CE3ACE"/>
    <w:rsid w:val="00CE61F5"/>
    <w:rsid w:val="00CF02B1"/>
    <w:rsid w:val="00CF0475"/>
    <w:rsid w:val="00CF1368"/>
    <w:rsid w:val="00CF1E74"/>
    <w:rsid w:val="00CF1E91"/>
    <w:rsid w:val="00CF3625"/>
    <w:rsid w:val="00CF7E54"/>
    <w:rsid w:val="00D00D13"/>
    <w:rsid w:val="00D04692"/>
    <w:rsid w:val="00D21210"/>
    <w:rsid w:val="00D2203B"/>
    <w:rsid w:val="00D303C8"/>
    <w:rsid w:val="00D33D7E"/>
    <w:rsid w:val="00D36CC2"/>
    <w:rsid w:val="00D414A3"/>
    <w:rsid w:val="00D62E05"/>
    <w:rsid w:val="00D71F34"/>
    <w:rsid w:val="00D72705"/>
    <w:rsid w:val="00D72957"/>
    <w:rsid w:val="00D7429F"/>
    <w:rsid w:val="00D76A8E"/>
    <w:rsid w:val="00D8200A"/>
    <w:rsid w:val="00D84278"/>
    <w:rsid w:val="00D91620"/>
    <w:rsid w:val="00DB1338"/>
    <w:rsid w:val="00DC0648"/>
    <w:rsid w:val="00DC3393"/>
    <w:rsid w:val="00DC50E4"/>
    <w:rsid w:val="00DD421C"/>
    <w:rsid w:val="00DE0E7C"/>
    <w:rsid w:val="00DE7DA8"/>
    <w:rsid w:val="00DF35AA"/>
    <w:rsid w:val="00DF55E1"/>
    <w:rsid w:val="00DF56BA"/>
    <w:rsid w:val="00E0069C"/>
    <w:rsid w:val="00E05F8D"/>
    <w:rsid w:val="00E065BE"/>
    <w:rsid w:val="00E1429F"/>
    <w:rsid w:val="00E22308"/>
    <w:rsid w:val="00E2431E"/>
    <w:rsid w:val="00E247E7"/>
    <w:rsid w:val="00E2729B"/>
    <w:rsid w:val="00E31018"/>
    <w:rsid w:val="00E338C5"/>
    <w:rsid w:val="00E433E0"/>
    <w:rsid w:val="00E46370"/>
    <w:rsid w:val="00E50149"/>
    <w:rsid w:val="00E608C3"/>
    <w:rsid w:val="00E62392"/>
    <w:rsid w:val="00E62FD6"/>
    <w:rsid w:val="00E650DF"/>
    <w:rsid w:val="00E65E4C"/>
    <w:rsid w:val="00E67435"/>
    <w:rsid w:val="00E6779E"/>
    <w:rsid w:val="00E759F2"/>
    <w:rsid w:val="00E76CF3"/>
    <w:rsid w:val="00E804A8"/>
    <w:rsid w:val="00E829E4"/>
    <w:rsid w:val="00E85A7B"/>
    <w:rsid w:val="00E910D8"/>
    <w:rsid w:val="00E95141"/>
    <w:rsid w:val="00E9729A"/>
    <w:rsid w:val="00E97658"/>
    <w:rsid w:val="00EA12A0"/>
    <w:rsid w:val="00EB0A01"/>
    <w:rsid w:val="00EB0A85"/>
    <w:rsid w:val="00EB54EF"/>
    <w:rsid w:val="00EC173A"/>
    <w:rsid w:val="00EC3CBA"/>
    <w:rsid w:val="00EC514C"/>
    <w:rsid w:val="00ED08C5"/>
    <w:rsid w:val="00ED2ADB"/>
    <w:rsid w:val="00ED3276"/>
    <w:rsid w:val="00ED7416"/>
    <w:rsid w:val="00ED7672"/>
    <w:rsid w:val="00EE4593"/>
    <w:rsid w:val="00F02B49"/>
    <w:rsid w:val="00F24346"/>
    <w:rsid w:val="00F26873"/>
    <w:rsid w:val="00F42CF2"/>
    <w:rsid w:val="00F44675"/>
    <w:rsid w:val="00F45C7C"/>
    <w:rsid w:val="00F56A33"/>
    <w:rsid w:val="00F649AF"/>
    <w:rsid w:val="00F6534F"/>
    <w:rsid w:val="00F66064"/>
    <w:rsid w:val="00F724FD"/>
    <w:rsid w:val="00F725C5"/>
    <w:rsid w:val="00F726C4"/>
    <w:rsid w:val="00F75C19"/>
    <w:rsid w:val="00F8542B"/>
    <w:rsid w:val="00F969B0"/>
    <w:rsid w:val="00F970A7"/>
    <w:rsid w:val="00FA63FD"/>
    <w:rsid w:val="00FA779F"/>
    <w:rsid w:val="00FC3C2E"/>
    <w:rsid w:val="00FC4B22"/>
    <w:rsid w:val="00FD174E"/>
    <w:rsid w:val="00FD3EF6"/>
    <w:rsid w:val="00FD4334"/>
    <w:rsid w:val="00FD5951"/>
    <w:rsid w:val="00FE0E09"/>
    <w:rsid w:val="00FE551B"/>
    <w:rsid w:val="00FF3E84"/>
    <w:rsid w:val="00FF3F3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B0C39"/>
  <w15:docId w15:val="{D5AB5A17-7AFF-4624-943C-AFEEC40C8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CB551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295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551A"/>
    <w:rPr>
      <w:rFonts w:asciiTheme="majorHAnsi" w:eastAsiaTheme="majorEastAsia" w:hAnsiTheme="majorHAnsi" w:cstheme="majorBidi"/>
      <w:color w:val="2E74B5" w:themeColor="accent1" w:themeShade="BF"/>
      <w:sz w:val="32"/>
      <w:szCs w:val="32"/>
    </w:rPr>
  </w:style>
  <w:style w:type="paragraph" w:styleId="FootnoteText">
    <w:name w:val="footnote text"/>
    <w:basedOn w:val="Normal"/>
    <w:link w:val="FootnoteTextChar"/>
    <w:uiPriority w:val="99"/>
    <w:semiHidden/>
    <w:unhideWhenUsed/>
    <w:rsid w:val="007F0B7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F0B7E"/>
    <w:rPr>
      <w:sz w:val="20"/>
      <w:szCs w:val="20"/>
    </w:rPr>
  </w:style>
  <w:style w:type="character" w:styleId="FootnoteReference">
    <w:name w:val="footnote reference"/>
    <w:basedOn w:val="DefaultParagraphFont"/>
    <w:uiPriority w:val="99"/>
    <w:semiHidden/>
    <w:unhideWhenUsed/>
    <w:rsid w:val="007F0B7E"/>
    <w:rPr>
      <w:vertAlign w:val="superscript"/>
    </w:rPr>
  </w:style>
  <w:style w:type="character" w:customStyle="1" w:styleId="Heading2Char">
    <w:name w:val="Heading 2 Char"/>
    <w:basedOn w:val="DefaultParagraphFont"/>
    <w:link w:val="Heading2"/>
    <w:uiPriority w:val="9"/>
    <w:rsid w:val="00932950"/>
    <w:rPr>
      <w:rFonts w:asciiTheme="majorHAnsi" w:eastAsiaTheme="majorEastAsia" w:hAnsiTheme="majorHAnsi" w:cstheme="majorBidi"/>
      <w:color w:val="2E74B5" w:themeColor="accent1" w:themeShade="BF"/>
      <w:sz w:val="26"/>
      <w:szCs w:val="26"/>
    </w:rPr>
  </w:style>
  <w:style w:type="paragraph" w:styleId="Header">
    <w:name w:val="header"/>
    <w:basedOn w:val="Normal"/>
    <w:link w:val="HeaderChar"/>
    <w:uiPriority w:val="99"/>
    <w:semiHidden/>
    <w:unhideWhenUsed/>
    <w:rsid w:val="003D7EB8"/>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D7EB8"/>
  </w:style>
  <w:style w:type="paragraph" w:styleId="Footer">
    <w:name w:val="footer"/>
    <w:basedOn w:val="Normal"/>
    <w:link w:val="FooterChar"/>
    <w:uiPriority w:val="99"/>
    <w:semiHidden/>
    <w:unhideWhenUsed/>
    <w:rsid w:val="003D7EB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3D7E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928498">
      <w:bodyDiv w:val="1"/>
      <w:marLeft w:val="0"/>
      <w:marRight w:val="0"/>
      <w:marTop w:val="0"/>
      <w:marBottom w:val="0"/>
      <w:divBdr>
        <w:top w:val="none" w:sz="0" w:space="0" w:color="auto"/>
        <w:left w:val="none" w:sz="0" w:space="0" w:color="auto"/>
        <w:bottom w:val="none" w:sz="0" w:space="0" w:color="auto"/>
        <w:right w:val="none" w:sz="0" w:space="0" w:color="auto"/>
      </w:divBdr>
    </w:div>
    <w:div w:id="357004292">
      <w:bodyDiv w:val="1"/>
      <w:marLeft w:val="0"/>
      <w:marRight w:val="0"/>
      <w:marTop w:val="0"/>
      <w:marBottom w:val="0"/>
      <w:divBdr>
        <w:top w:val="none" w:sz="0" w:space="0" w:color="auto"/>
        <w:left w:val="none" w:sz="0" w:space="0" w:color="auto"/>
        <w:bottom w:val="none" w:sz="0" w:space="0" w:color="auto"/>
        <w:right w:val="none" w:sz="0" w:space="0" w:color="auto"/>
      </w:divBdr>
    </w:div>
    <w:div w:id="397823946">
      <w:bodyDiv w:val="1"/>
      <w:marLeft w:val="0"/>
      <w:marRight w:val="0"/>
      <w:marTop w:val="0"/>
      <w:marBottom w:val="0"/>
      <w:divBdr>
        <w:top w:val="none" w:sz="0" w:space="0" w:color="auto"/>
        <w:left w:val="none" w:sz="0" w:space="0" w:color="auto"/>
        <w:bottom w:val="none" w:sz="0" w:space="0" w:color="auto"/>
        <w:right w:val="none" w:sz="0" w:space="0" w:color="auto"/>
      </w:divBdr>
    </w:div>
    <w:div w:id="557739513">
      <w:bodyDiv w:val="1"/>
      <w:marLeft w:val="0"/>
      <w:marRight w:val="0"/>
      <w:marTop w:val="0"/>
      <w:marBottom w:val="0"/>
      <w:divBdr>
        <w:top w:val="none" w:sz="0" w:space="0" w:color="auto"/>
        <w:left w:val="none" w:sz="0" w:space="0" w:color="auto"/>
        <w:bottom w:val="none" w:sz="0" w:space="0" w:color="auto"/>
        <w:right w:val="none" w:sz="0" w:space="0" w:color="auto"/>
      </w:divBdr>
    </w:div>
    <w:div w:id="737745228">
      <w:bodyDiv w:val="1"/>
      <w:marLeft w:val="0"/>
      <w:marRight w:val="0"/>
      <w:marTop w:val="0"/>
      <w:marBottom w:val="0"/>
      <w:divBdr>
        <w:top w:val="none" w:sz="0" w:space="0" w:color="auto"/>
        <w:left w:val="none" w:sz="0" w:space="0" w:color="auto"/>
        <w:bottom w:val="none" w:sz="0" w:space="0" w:color="auto"/>
        <w:right w:val="none" w:sz="0" w:space="0" w:color="auto"/>
      </w:divBdr>
    </w:div>
    <w:div w:id="844782073">
      <w:bodyDiv w:val="1"/>
      <w:marLeft w:val="0"/>
      <w:marRight w:val="0"/>
      <w:marTop w:val="0"/>
      <w:marBottom w:val="0"/>
      <w:divBdr>
        <w:top w:val="none" w:sz="0" w:space="0" w:color="auto"/>
        <w:left w:val="none" w:sz="0" w:space="0" w:color="auto"/>
        <w:bottom w:val="none" w:sz="0" w:space="0" w:color="auto"/>
        <w:right w:val="none" w:sz="0" w:space="0" w:color="auto"/>
      </w:divBdr>
    </w:div>
    <w:div w:id="993727291">
      <w:bodyDiv w:val="1"/>
      <w:marLeft w:val="0"/>
      <w:marRight w:val="0"/>
      <w:marTop w:val="0"/>
      <w:marBottom w:val="0"/>
      <w:divBdr>
        <w:top w:val="none" w:sz="0" w:space="0" w:color="auto"/>
        <w:left w:val="none" w:sz="0" w:space="0" w:color="auto"/>
        <w:bottom w:val="none" w:sz="0" w:space="0" w:color="auto"/>
        <w:right w:val="none" w:sz="0" w:space="0" w:color="auto"/>
      </w:divBdr>
      <w:divsChild>
        <w:div w:id="1429932368">
          <w:marLeft w:val="0"/>
          <w:marRight w:val="0"/>
          <w:marTop w:val="0"/>
          <w:marBottom w:val="0"/>
          <w:divBdr>
            <w:top w:val="none" w:sz="0" w:space="0" w:color="auto"/>
            <w:left w:val="none" w:sz="0" w:space="0" w:color="auto"/>
            <w:bottom w:val="none" w:sz="0" w:space="0" w:color="auto"/>
            <w:right w:val="none" w:sz="0" w:space="0" w:color="auto"/>
          </w:divBdr>
        </w:div>
      </w:divsChild>
    </w:div>
    <w:div w:id="1102147775">
      <w:bodyDiv w:val="1"/>
      <w:marLeft w:val="0"/>
      <w:marRight w:val="0"/>
      <w:marTop w:val="0"/>
      <w:marBottom w:val="0"/>
      <w:divBdr>
        <w:top w:val="none" w:sz="0" w:space="0" w:color="auto"/>
        <w:left w:val="none" w:sz="0" w:space="0" w:color="auto"/>
        <w:bottom w:val="none" w:sz="0" w:space="0" w:color="auto"/>
        <w:right w:val="none" w:sz="0" w:space="0" w:color="auto"/>
      </w:divBdr>
    </w:div>
    <w:div w:id="1149252279">
      <w:bodyDiv w:val="1"/>
      <w:marLeft w:val="0"/>
      <w:marRight w:val="0"/>
      <w:marTop w:val="0"/>
      <w:marBottom w:val="0"/>
      <w:divBdr>
        <w:top w:val="none" w:sz="0" w:space="0" w:color="auto"/>
        <w:left w:val="none" w:sz="0" w:space="0" w:color="auto"/>
        <w:bottom w:val="none" w:sz="0" w:space="0" w:color="auto"/>
        <w:right w:val="none" w:sz="0" w:space="0" w:color="auto"/>
      </w:divBdr>
    </w:div>
    <w:div w:id="1196843669">
      <w:bodyDiv w:val="1"/>
      <w:marLeft w:val="0"/>
      <w:marRight w:val="0"/>
      <w:marTop w:val="0"/>
      <w:marBottom w:val="0"/>
      <w:divBdr>
        <w:top w:val="none" w:sz="0" w:space="0" w:color="auto"/>
        <w:left w:val="none" w:sz="0" w:space="0" w:color="auto"/>
        <w:bottom w:val="none" w:sz="0" w:space="0" w:color="auto"/>
        <w:right w:val="none" w:sz="0" w:space="0" w:color="auto"/>
      </w:divBdr>
    </w:div>
    <w:div w:id="1197965186">
      <w:bodyDiv w:val="1"/>
      <w:marLeft w:val="0"/>
      <w:marRight w:val="0"/>
      <w:marTop w:val="0"/>
      <w:marBottom w:val="0"/>
      <w:divBdr>
        <w:top w:val="none" w:sz="0" w:space="0" w:color="auto"/>
        <w:left w:val="none" w:sz="0" w:space="0" w:color="auto"/>
        <w:bottom w:val="none" w:sz="0" w:space="0" w:color="auto"/>
        <w:right w:val="none" w:sz="0" w:space="0" w:color="auto"/>
      </w:divBdr>
    </w:div>
    <w:div w:id="1228146432">
      <w:bodyDiv w:val="1"/>
      <w:marLeft w:val="0"/>
      <w:marRight w:val="0"/>
      <w:marTop w:val="0"/>
      <w:marBottom w:val="0"/>
      <w:divBdr>
        <w:top w:val="none" w:sz="0" w:space="0" w:color="auto"/>
        <w:left w:val="none" w:sz="0" w:space="0" w:color="auto"/>
        <w:bottom w:val="none" w:sz="0" w:space="0" w:color="auto"/>
        <w:right w:val="none" w:sz="0" w:space="0" w:color="auto"/>
      </w:divBdr>
    </w:div>
    <w:div w:id="1292708107">
      <w:bodyDiv w:val="1"/>
      <w:marLeft w:val="0"/>
      <w:marRight w:val="0"/>
      <w:marTop w:val="0"/>
      <w:marBottom w:val="0"/>
      <w:divBdr>
        <w:top w:val="none" w:sz="0" w:space="0" w:color="auto"/>
        <w:left w:val="none" w:sz="0" w:space="0" w:color="auto"/>
        <w:bottom w:val="none" w:sz="0" w:space="0" w:color="auto"/>
        <w:right w:val="none" w:sz="0" w:space="0" w:color="auto"/>
      </w:divBdr>
    </w:div>
    <w:div w:id="1482968227">
      <w:bodyDiv w:val="1"/>
      <w:marLeft w:val="0"/>
      <w:marRight w:val="0"/>
      <w:marTop w:val="0"/>
      <w:marBottom w:val="0"/>
      <w:divBdr>
        <w:top w:val="none" w:sz="0" w:space="0" w:color="auto"/>
        <w:left w:val="none" w:sz="0" w:space="0" w:color="auto"/>
        <w:bottom w:val="none" w:sz="0" w:space="0" w:color="auto"/>
        <w:right w:val="none" w:sz="0" w:space="0" w:color="auto"/>
      </w:divBdr>
    </w:div>
    <w:div w:id="1485704833">
      <w:bodyDiv w:val="1"/>
      <w:marLeft w:val="0"/>
      <w:marRight w:val="0"/>
      <w:marTop w:val="0"/>
      <w:marBottom w:val="0"/>
      <w:divBdr>
        <w:top w:val="none" w:sz="0" w:space="0" w:color="auto"/>
        <w:left w:val="none" w:sz="0" w:space="0" w:color="auto"/>
        <w:bottom w:val="none" w:sz="0" w:space="0" w:color="auto"/>
        <w:right w:val="none" w:sz="0" w:space="0" w:color="auto"/>
      </w:divBdr>
    </w:div>
    <w:div w:id="1761294578">
      <w:bodyDiv w:val="1"/>
      <w:marLeft w:val="0"/>
      <w:marRight w:val="0"/>
      <w:marTop w:val="0"/>
      <w:marBottom w:val="0"/>
      <w:divBdr>
        <w:top w:val="none" w:sz="0" w:space="0" w:color="auto"/>
        <w:left w:val="none" w:sz="0" w:space="0" w:color="auto"/>
        <w:bottom w:val="none" w:sz="0" w:space="0" w:color="auto"/>
        <w:right w:val="none" w:sz="0" w:space="0" w:color="auto"/>
      </w:divBdr>
      <w:divsChild>
        <w:div w:id="535823012">
          <w:marLeft w:val="0"/>
          <w:marRight w:val="0"/>
          <w:marTop w:val="0"/>
          <w:marBottom w:val="0"/>
          <w:divBdr>
            <w:top w:val="none" w:sz="0" w:space="0" w:color="auto"/>
            <w:left w:val="none" w:sz="0" w:space="0" w:color="auto"/>
            <w:bottom w:val="none" w:sz="0" w:space="0" w:color="auto"/>
            <w:right w:val="none" w:sz="0" w:space="0" w:color="auto"/>
          </w:divBdr>
        </w:div>
      </w:divsChild>
    </w:div>
    <w:div w:id="18342520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542BF1-FEE8-4911-A822-16024A5E35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2</Pages>
  <Words>606</Words>
  <Characters>3460</Characters>
  <Application>Microsoft Office Word</Application>
  <DocSecurity>0</DocSecurity>
  <Lines>28</Lines>
  <Paragraphs>8</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סיפור החטא בשיטים</vt:lpstr>
    </vt:vector>
  </TitlesOfParts>
  <Company/>
  <LinksUpToDate>false</LinksUpToDate>
  <CharactersWithSpaces>4058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Tomer</dc:creator>
  <cp:keywords>הרב חיים סבתו</cp:keywords>
  <dc:description/>
  <cp:lastModifiedBy>תומר לוי</cp:lastModifiedBy>
  <cp:revision>94</cp:revision>
  <cp:lastPrinted>2023-06-30T16:25:00Z</cp:lastPrinted>
  <dcterms:created xsi:type="dcterms:W3CDTF">2025-07-12T23:41:00Z</dcterms:created>
  <dcterms:modified xsi:type="dcterms:W3CDTF">2025-07-16T09:09:00Z</dcterms:modified>
</cp:coreProperties>
</file>