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C0C938" w14:textId="21AF45D5" w:rsidR="00E85A7B" w:rsidRDefault="00CB551A" w:rsidP="00EB0A85">
      <w:pPr>
        <w:rPr>
          <w:sz w:val="18"/>
          <w:szCs w:val="18"/>
          <w:rtl/>
        </w:rPr>
      </w:pPr>
      <w:r>
        <w:rPr>
          <w:rFonts w:hint="cs"/>
          <w:sz w:val="18"/>
          <w:szCs w:val="18"/>
          <w:rtl/>
        </w:rPr>
        <w:t xml:space="preserve">בס"ד </w:t>
      </w:r>
      <w:r w:rsidR="007766C3">
        <w:rPr>
          <w:rFonts w:hint="cs"/>
          <w:sz w:val="18"/>
          <w:szCs w:val="18"/>
          <w:rtl/>
        </w:rPr>
        <w:t>כט</w:t>
      </w:r>
      <w:r w:rsidR="008630A2">
        <w:rPr>
          <w:rFonts w:hint="cs"/>
          <w:sz w:val="18"/>
          <w:szCs w:val="18"/>
          <w:rtl/>
        </w:rPr>
        <w:t xml:space="preserve"> </w:t>
      </w:r>
      <w:r w:rsidR="00DB0013">
        <w:rPr>
          <w:rFonts w:hint="cs"/>
          <w:sz w:val="18"/>
          <w:szCs w:val="18"/>
          <w:rtl/>
        </w:rPr>
        <w:t xml:space="preserve">סיוון </w:t>
      </w:r>
      <w:r w:rsidR="00E2729B">
        <w:rPr>
          <w:rFonts w:hint="cs"/>
          <w:sz w:val="18"/>
          <w:szCs w:val="18"/>
          <w:rtl/>
        </w:rPr>
        <w:t>תשפ"</w:t>
      </w:r>
      <w:r w:rsidR="007766C3">
        <w:rPr>
          <w:rFonts w:hint="cs"/>
          <w:sz w:val="18"/>
          <w:szCs w:val="18"/>
          <w:rtl/>
        </w:rPr>
        <w:t>ה</w:t>
      </w:r>
    </w:p>
    <w:p w14:paraId="6B4C09FC" w14:textId="7E11E1AB" w:rsidR="00F173DC" w:rsidRPr="00F173DC" w:rsidRDefault="00620063" w:rsidP="00F173DC">
      <w:pPr>
        <w:pStyle w:val="Heading1"/>
        <w:jc w:val="center"/>
        <w:rPr>
          <w:b/>
          <w:bCs/>
          <w:color w:val="auto"/>
          <w:sz w:val="28"/>
          <w:szCs w:val="28"/>
          <w:rtl/>
        </w:rPr>
      </w:pPr>
      <w:r>
        <w:rPr>
          <w:rFonts w:hint="cs"/>
          <w:b/>
          <w:bCs/>
          <w:color w:val="auto"/>
          <w:sz w:val="28"/>
          <w:szCs w:val="28"/>
          <w:rtl/>
        </w:rPr>
        <w:t>ציפוי למזבח</w:t>
      </w:r>
      <w:r w:rsidR="00F173DC">
        <w:rPr>
          <w:rFonts w:hint="cs"/>
          <w:b/>
          <w:bCs/>
          <w:color w:val="auto"/>
          <w:sz w:val="28"/>
          <w:szCs w:val="28"/>
          <w:rtl/>
        </w:rPr>
        <w:t xml:space="preserve"> מהמחתות</w:t>
      </w:r>
    </w:p>
    <w:p w14:paraId="4F0737EA" w14:textId="190D0C57" w:rsidR="009975A4" w:rsidRDefault="004C730B" w:rsidP="007D281B">
      <w:pPr>
        <w:jc w:val="both"/>
        <w:rPr>
          <w:rFonts w:cs="Arial"/>
          <w:rtl/>
        </w:rPr>
      </w:pPr>
      <w:r>
        <w:rPr>
          <w:rFonts w:cs="Arial" w:hint="cs"/>
          <w:rtl/>
        </w:rPr>
        <w:t>פרשת קורח מתארת מרד המתעורר בעם בין כמה קבוצות לבין משה ואהרון</w:t>
      </w:r>
      <w:r w:rsidR="009B72E7">
        <w:rPr>
          <w:rStyle w:val="FootnoteReference"/>
          <w:rFonts w:cs="Arial"/>
          <w:rtl/>
        </w:rPr>
        <w:footnoteReference w:id="1"/>
      </w:r>
      <w:r>
        <w:rPr>
          <w:rFonts w:cs="Arial" w:hint="cs"/>
          <w:rtl/>
        </w:rPr>
        <w:t xml:space="preserve">. </w:t>
      </w:r>
      <w:r w:rsidR="0006078E">
        <w:rPr>
          <w:rFonts w:cs="Arial" w:hint="cs"/>
          <w:rtl/>
        </w:rPr>
        <w:t xml:space="preserve">במסגרת המרד הזה מאתיים חמישים איש מערערים על כהונתו של אהרון. </w:t>
      </w:r>
      <w:r w:rsidR="006E4100">
        <w:rPr>
          <w:rFonts w:cs="Arial" w:hint="cs"/>
          <w:rtl/>
        </w:rPr>
        <w:t>על מנת להכריע את המחלוקת</w:t>
      </w:r>
      <w:r w:rsidR="00204BD2">
        <w:rPr>
          <w:rFonts w:cs="Arial" w:hint="cs"/>
          <w:rtl/>
        </w:rPr>
        <w:t xml:space="preserve"> ולברר מי נבחר על ידי הקב"ה</w:t>
      </w:r>
      <w:r w:rsidR="006E4100">
        <w:rPr>
          <w:rFonts w:cs="Arial" w:hint="cs"/>
          <w:rtl/>
        </w:rPr>
        <w:t xml:space="preserve"> משה מציע מבחן. </w:t>
      </w:r>
      <w:r w:rsidR="00791B1E">
        <w:rPr>
          <w:rFonts w:cs="Arial" w:hint="cs"/>
          <w:rtl/>
        </w:rPr>
        <w:t>אהרון</w:t>
      </w:r>
      <w:r w:rsidR="00F614EA">
        <w:rPr>
          <w:rStyle w:val="FootnoteReference"/>
          <w:rFonts w:cs="Arial"/>
          <w:rtl/>
        </w:rPr>
        <w:footnoteReference w:id="2"/>
      </w:r>
      <w:r w:rsidR="00791B1E">
        <w:rPr>
          <w:rFonts w:cs="Arial" w:hint="cs"/>
          <w:rtl/>
        </w:rPr>
        <w:t xml:space="preserve"> ומאתיים חמישים האנשים יקטירו קטורת</w:t>
      </w:r>
      <w:r w:rsidR="00A0721A">
        <w:rPr>
          <w:rStyle w:val="FootnoteReference"/>
          <w:rFonts w:cs="Arial"/>
          <w:rtl/>
        </w:rPr>
        <w:footnoteReference w:id="3"/>
      </w:r>
      <w:r w:rsidR="00A0721A">
        <w:rPr>
          <w:rFonts w:cs="Arial" w:hint="cs"/>
          <w:rtl/>
        </w:rPr>
        <w:t xml:space="preserve">. בפועל, כאשר מאתיים וחמישים המערערים מקטירים קטורת </w:t>
      </w:r>
      <w:r w:rsidR="00FE54A0">
        <w:rPr>
          <w:rFonts w:cs="Arial" w:hint="cs"/>
          <w:rtl/>
        </w:rPr>
        <w:t>יוצאת אש מהשמיים והורגת אותם.</w:t>
      </w:r>
    </w:p>
    <w:p w14:paraId="326BA319" w14:textId="729DD01B" w:rsidR="00FE54A0" w:rsidRDefault="00FE54A0" w:rsidP="007D281B">
      <w:pPr>
        <w:jc w:val="both"/>
        <w:rPr>
          <w:rFonts w:cs="Arial"/>
          <w:rtl/>
        </w:rPr>
      </w:pPr>
      <w:r>
        <w:rPr>
          <w:rFonts w:cs="Arial" w:hint="cs"/>
          <w:rtl/>
        </w:rPr>
        <w:t>אלא שבשלב זה מגיע ציווי מפתיע. ה' מצווה את משה לקחת את הכלים בהם השתמשו מאתיים וחמישים האנשים</w:t>
      </w:r>
      <w:r w:rsidR="00352104">
        <w:rPr>
          <w:rFonts w:cs="Arial" w:hint="cs"/>
          <w:rtl/>
        </w:rPr>
        <w:t xml:space="preserve"> להקטרת הקטורת, ולהשתמש בהם כציפוי למזבח. </w:t>
      </w:r>
      <w:r w:rsidR="00BA7D23">
        <w:rPr>
          <w:rFonts w:cs="Arial" w:hint="cs"/>
          <w:rtl/>
        </w:rPr>
        <w:t xml:space="preserve">לכאורה, המעשה של אותם מאתיים חמישים אנשים היה מעשה רע, </w:t>
      </w:r>
      <w:r w:rsidR="00C175CF">
        <w:rPr>
          <w:rFonts w:cs="Arial" w:hint="cs"/>
          <w:rtl/>
        </w:rPr>
        <w:t xml:space="preserve">ולראיה הם מתו, כך שלא ברור למה לוקחים את הכלים שלהם ומשתמשים בהם </w:t>
      </w:r>
      <w:r w:rsidR="00575790">
        <w:rPr>
          <w:rFonts w:cs="Arial" w:hint="cs"/>
          <w:rtl/>
        </w:rPr>
        <w:t>לצורכי המזבח</w:t>
      </w:r>
      <w:r w:rsidR="009731CE">
        <w:rPr>
          <w:rStyle w:val="FootnoteReference"/>
          <w:rFonts w:cs="Arial"/>
          <w:rtl/>
        </w:rPr>
        <w:footnoteReference w:id="4"/>
      </w:r>
      <w:r w:rsidR="00575790">
        <w:rPr>
          <w:rFonts w:cs="Arial" w:hint="cs"/>
          <w:rtl/>
        </w:rPr>
        <w:t>.</w:t>
      </w:r>
    </w:p>
    <w:p w14:paraId="51C7B094" w14:textId="3FF35204" w:rsidR="00FC40A2" w:rsidRPr="00FC40A2" w:rsidRDefault="00FC40A2" w:rsidP="00FC40A2">
      <w:pPr>
        <w:jc w:val="both"/>
        <w:rPr>
          <w:rFonts w:cs="Arial"/>
          <w:rtl/>
        </w:rPr>
      </w:pPr>
      <w:r w:rsidRPr="00FC40A2">
        <w:rPr>
          <w:rFonts w:cs="Arial"/>
          <w:rtl/>
        </w:rPr>
        <w:t>התורה מתייחסת לציווי להשתמש במחתות לציפוי המזבח, ומציינת כי מטרתו היא להוות סימן לבני ישראל. עצם העובדה שמאתיים וחמישים איש היו מוכנים להקטיר קטורת, למרות שלא היו כהנים, מצביעה על צורך חינוכי בהנכחת האיסור – להבהיר שמעשה זה אסור למי שאינו כהן. לכן מצווה ה' לקחת את המחתות ששימשו להקטרת הקטורת ולהשתמש בהן כחומר לציפוי המזבח, כדי ליצור זיכרון מוחשי של האיסור.</w:t>
      </w:r>
    </w:p>
    <w:p w14:paraId="70FDF9FC" w14:textId="77777777" w:rsidR="00FC40A2" w:rsidRDefault="00FC40A2" w:rsidP="00FC40A2">
      <w:pPr>
        <w:jc w:val="both"/>
        <w:rPr>
          <w:rFonts w:cs="Arial"/>
          <w:rtl/>
        </w:rPr>
      </w:pPr>
      <w:r w:rsidRPr="00FC40A2">
        <w:rPr>
          <w:rFonts w:cs="Arial"/>
          <w:rtl/>
        </w:rPr>
        <w:t xml:space="preserve">עם זאת, הנימוק הזה מעורר קושי. אם המטרה היא להזכיר את האיסור להקטיר קטורת, היינו מצפים שהזיכרון ימוקם במקום שבו נעשית עבודת הקטורת – כלומר, על מזבח הקטורת. בפועל, הציפוי נעשה דווקא על מזבח העולה, שהוא המזבח החיצוני שעליו מקריבים את הקורבנות. </w:t>
      </w:r>
    </w:p>
    <w:p w14:paraId="1A26A22D" w14:textId="39AAB88B" w:rsidR="00C8508C" w:rsidRDefault="004E4BDA" w:rsidP="00FC40A2">
      <w:pPr>
        <w:jc w:val="both"/>
        <w:rPr>
          <w:rFonts w:cs="Arial"/>
          <w:rtl/>
        </w:rPr>
      </w:pPr>
      <w:r>
        <w:rPr>
          <w:rFonts w:cs="Arial" w:hint="cs"/>
          <w:rtl/>
        </w:rPr>
        <w:t xml:space="preserve">גם הדרך בה התורה בוחרת לנסח את </w:t>
      </w:r>
      <w:r w:rsidR="000B1990">
        <w:rPr>
          <w:rFonts w:cs="Arial" w:hint="cs"/>
          <w:rtl/>
        </w:rPr>
        <w:t>הנימוק מעידה על כך שזה אינו ההסבר הישיר. במהלך הציווי של הקב"ה, נזכר כי הציפוי נועד להיות אות לבני ישראל, אך</w:t>
      </w:r>
      <w:r w:rsidR="004A7B6A">
        <w:rPr>
          <w:rFonts w:cs="Arial" w:hint="cs"/>
          <w:rtl/>
        </w:rPr>
        <w:t xml:space="preserve"> תוכן האות אינו נזכר. רק כאשר התורה מתארת את הביצוע, </w:t>
      </w:r>
      <w:r w:rsidR="00C8508C">
        <w:rPr>
          <w:rFonts w:cs="Arial" w:hint="cs"/>
          <w:rtl/>
        </w:rPr>
        <w:t>היא כותבת שה</w:t>
      </w:r>
      <w:r w:rsidR="00C8508C">
        <w:rPr>
          <w:rFonts w:cs="Arial" w:hint="cs"/>
          <w:rtl/>
        </w:rPr>
        <w:t xml:space="preserve">ציפוי מהווה זיכרון לבני ישראל לכך שאדם שאינו כהן </w:t>
      </w:r>
      <w:r w:rsidR="00C8508C">
        <w:rPr>
          <w:rFonts w:cs="Arial" w:hint="cs"/>
          <w:rtl/>
        </w:rPr>
        <w:t xml:space="preserve">לא </w:t>
      </w:r>
      <w:r w:rsidR="00C8508C">
        <w:rPr>
          <w:rFonts w:cs="Arial" w:hint="cs"/>
          <w:rtl/>
        </w:rPr>
        <w:t>יכול להקטיר קטורת.</w:t>
      </w:r>
      <w:r w:rsidR="00280E04">
        <w:rPr>
          <w:rFonts w:cs="Arial" w:hint="cs"/>
          <w:rtl/>
        </w:rPr>
        <w:t xml:space="preserve"> </w:t>
      </w:r>
      <w:r w:rsidR="003853E3">
        <w:rPr>
          <w:rFonts w:cs="Arial" w:hint="cs"/>
          <w:rtl/>
        </w:rPr>
        <w:t>פיצול</w:t>
      </w:r>
      <w:r w:rsidR="00280E04" w:rsidRPr="00280E04">
        <w:rPr>
          <w:rFonts w:cs="Arial"/>
          <w:rtl/>
        </w:rPr>
        <w:t xml:space="preserve"> זה עשוי לרמוז על הבדל בין כוונת הציווי לבין ההבנה שהעם או משה מייחסים לו בשלב מאוחר יותר.</w:t>
      </w:r>
    </w:p>
    <w:p w14:paraId="6B1F1B7E" w14:textId="420455C8" w:rsidR="00FC66A8" w:rsidRPr="00FC66A8" w:rsidRDefault="00330EA2" w:rsidP="00FC66A8">
      <w:pPr>
        <w:jc w:val="both"/>
        <w:rPr>
          <w:rFonts w:cs="Arial"/>
          <w:rtl/>
        </w:rPr>
      </w:pPr>
      <w:r>
        <w:rPr>
          <w:rFonts w:cs="Arial" w:hint="cs"/>
          <w:rtl/>
        </w:rPr>
        <w:t>הנצי"ב</w:t>
      </w:r>
      <w:r w:rsidR="00B35944">
        <w:rPr>
          <w:rStyle w:val="FootnoteReference"/>
          <w:rFonts w:cs="Arial"/>
          <w:rtl/>
        </w:rPr>
        <w:footnoteReference w:id="5"/>
      </w:r>
      <w:r w:rsidR="003853E3">
        <w:rPr>
          <w:rFonts w:cs="Arial" w:hint="cs"/>
          <w:rtl/>
        </w:rPr>
        <w:t xml:space="preserve"> מאמץ את הפיצול הזה. </w:t>
      </w:r>
      <w:r w:rsidR="00FC66A8">
        <w:rPr>
          <w:rFonts w:cs="Arial" w:hint="cs"/>
          <w:rtl/>
        </w:rPr>
        <w:t>הוא</w:t>
      </w:r>
      <w:r w:rsidR="00FC66A8" w:rsidRPr="00FC66A8">
        <w:rPr>
          <w:rFonts w:cs="Arial"/>
          <w:rtl/>
        </w:rPr>
        <w:t xml:space="preserve"> מסביר כי מטרת הציפוי היא להוות סימן לכך שהאדם אינו יכול להתקדש מעבר למדרגה שהקב"ה הועיד לו. לשיטתו, אין הכוונה לשלול את עצם הרצון להתעלות מבחינה רוחנית, אלא לקבוע גבול מעשי: גם כאשר השאיפה ראויה, יש לפעול בתוך המסגרת והדרגה שהאדם נמצא בה בפועל. לכן, הציפוי משמש תזכורת לכך שלא כל מי שמבקש </w:t>
      </w:r>
      <w:r w:rsidR="0017283D">
        <w:rPr>
          <w:rFonts w:cs="Arial" w:hint="cs"/>
          <w:rtl/>
        </w:rPr>
        <w:t>לעשות מעשה של התקרבות</w:t>
      </w:r>
      <w:r w:rsidR="00FC66A8" w:rsidRPr="00FC66A8">
        <w:rPr>
          <w:rFonts w:cs="Arial"/>
          <w:rtl/>
        </w:rPr>
        <w:t xml:space="preserve"> אל הקודש רשאי לעשות </w:t>
      </w:r>
      <w:r w:rsidR="0017283D">
        <w:rPr>
          <w:rFonts w:cs="Arial" w:hint="cs"/>
          <w:rtl/>
        </w:rPr>
        <w:t>אותו</w:t>
      </w:r>
      <w:r w:rsidR="00FC66A8" w:rsidRPr="00FC66A8">
        <w:rPr>
          <w:rFonts w:cs="Arial"/>
          <w:rtl/>
        </w:rPr>
        <w:t xml:space="preserve"> בפועל.</w:t>
      </w:r>
    </w:p>
    <w:p w14:paraId="6CEE6C4A" w14:textId="26C43CE9" w:rsidR="00897E11" w:rsidRPr="00897E11" w:rsidRDefault="00897E11" w:rsidP="003256EB">
      <w:pPr>
        <w:jc w:val="both"/>
        <w:rPr>
          <w:rFonts w:cs="Arial"/>
          <w:rtl/>
          <w:lang w:val="en-IL"/>
        </w:rPr>
      </w:pPr>
      <w:r w:rsidRPr="00897E11">
        <w:rPr>
          <w:rFonts w:cs="Arial"/>
          <w:rtl/>
          <w:lang w:val="en-IL"/>
        </w:rPr>
        <w:t xml:space="preserve">הפער בין הנימוק המפורש בפסוקים לבין הנימוק של הנצי"ב נוגע ליחס למעשה של מאתיים וחמישים האנשים. </w:t>
      </w:r>
      <w:r w:rsidR="003256EB">
        <w:rPr>
          <w:rFonts w:cs="Arial" w:hint="cs"/>
          <w:rtl/>
        </w:rPr>
        <w:t>הטעם שמופיע בפסוקים לפיו הציפוי מעיד על כך שרק הכוהנים יכולים להקטיר קטורת, מקבל את המוטיבציה של מאתיים וחמישים האנשים, רק המעשה שעשו לא בסדר</w:t>
      </w:r>
      <w:r w:rsidR="003256EB">
        <w:rPr>
          <w:rFonts w:cs="Arial" w:hint="cs"/>
          <w:rtl/>
        </w:rPr>
        <w:t>.</w:t>
      </w:r>
      <w:r w:rsidR="003256EB" w:rsidRPr="00897E11">
        <w:rPr>
          <w:rFonts w:cs="Arial"/>
          <w:rtl/>
          <w:lang w:val="en-IL"/>
        </w:rPr>
        <w:t xml:space="preserve"> </w:t>
      </w:r>
      <w:r w:rsidRPr="00897E11">
        <w:rPr>
          <w:rFonts w:cs="Arial"/>
          <w:rtl/>
          <w:lang w:val="en-IL"/>
        </w:rPr>
        <w:t xml:space="preserve">לעומת זאת, לפי הנצי"ב, גם עצם </w:t>
      </w:r>
      <w:r w:rsidR="003256EB">
        <w:rPr>
          <w:rFonts w:cs="Arial" w:hint="cs"/>
          <w:rtl/>
          <w:lang w:val="en-IL"/>
        </w:rPr>
        <w:t>הרצון של מאתיים וחמישים האנשים היה בעייתי</w:t>
      </w:r>
      <w:r w:rsidRPr="00897E11">
        <w:rPr>
          <w:rFonts w:cs="Arial"/>
          <w:rtl/>
          <w:lang w:val="en-IL"/>
        </w:rPr>
        <w:t>. לא מדובר רק בטעות בביצוע, אלא בניסיון לעבור מדרגה רוחנית שלא שייכת לעושה.</w:t>
      </w:r>
    </w:p>
    <w:p w14:paraId="0D0DF54B" w14:textId="77777777" w:rsidR="006B0E23" w:rsidRPr="006B0E23" w:rsidRDefault="006B0E23" w:rsidP="006B0E23">
      <w:pPr>
        <w:jc w:val="both"/>
        <w:rPr>
          <w:rFonts w:cs="Arial"/>
          <w:rtl/>
          <w:lang w:val="en-IL"/>
        </w:rPr>
      </w:pPr>
      <w:r w:rsidRPr="006B0E23">
        <w:rPr>
          <w:rFonts w:cs="Arial"/>
          <w:rtl/>
          <w:lang w:val="en-IL"/>
        </w:rPr>
        <w:t>לצד הקריאה של הנצי"ב, ישנם רמזים בפשט הסיפור שמעידים על כיוון פרשני שונה. ראשית, משה הוא זה שמורה לאנשים להשתמש דווקא במחתות מנחושת, החומר שממנו עשוי מזבח העולה. הנחושת אינה מתאימה להקטרת קטורת, שנהוג לעשותה בכלי זהב, כך שנראה שמשה מכוון את הפעולה מראש לקשר בין המעשה לבין מזבח העולה. משמעות הדבר היא שהשימוש במחתות לא נולד רק כתגובה מאוחרת לחטא, אלא נבנה כחלק מהמהלך כולו.</w:t>
      </w:r>
    </w:p>
    <w:p w14:paraId="66796E29" w14:textId="3B0C542E" w:rsidR="004E4BDA" w:rsidRDefault="004E68C6" w:rsidP="00636404">
      <w:pPr>
        <w:jc w:val="both"/>
        <w:rPr>
          <w:rFonts w:cs="Arial"/>
          <w:rtl/>
          <w:lang w:val="en-IL"/>
        </w:rPr>
      </w:pPr>
      <w:r w:rsidRPr="004E68C6">
        <w:rPr>
          <w:rFonts w:cs="Arial"/>
          <w:rtl/>
          <w:lang w:val="en-IL"/>
        </w:rPr>
        <w:lastRenderedPageBreak/>
        <w:t>אור החיים</w:t>
      </w:r>
      <w:r w:rsidR="002E07AA">
        <w:rPr>
          <w:rStyle w:val="FootnoteReference"/>
          <w:rFonts w:cs="Arial"/>
          <w:rtl/>
          <w:lang w:val="en-IL"/>
        </w:rPr>
        <w:footnoteReference w:id="6"/>
      </w:r>
      <w:r w:rsidRPr="004E68C6">
        <w:rPr>
          <w:rFonts w:cs="Arial"/>
          <w:rtl/>
          <w:lang w:val="en-IL"/>
        </w:rPr>
        <w:t xml:space="preserve"> מבחין בין שני שלבים במעשה של מאתיים וחמישים האנשים: שלב הקדשת המחתות ושלב הקטרת הקטורת. לפי דבריו, המחתות </w:t>
      </w:r>
      <w:r w:rsidR="00941642">
        <w:rPr>
          <w:rFonts w:cs="Arial" w:hint="cs"/>
          <w:rtl/>
          <w:lang w:val="en-IL"/>
        </w:rPr>
        <w:t>ה</w:t>
      </w:r>
      <w:r w:rsidRPr="004E68C6">
        <w:rPr>
          <w:rFonts w:cs="Arial"/>
          <w:rtl/>
          <w:lang w:val="en-IL"/>
        </w:rPr>
        <w:t xml:space="preserve">תקדשו כבר בשלב הראשון, כאשר הוקצו לשם עבודת ה’, עוד לפני שנעשה בהן שימוש בפועל. קדושה זו חלה מעצם </w:t>
      </w:r>
      <w:r w:rsidR="00941642">
        <w:rPr>
          <w:rFonts w:cs="Arial" w:hint="cs"/>
          <w:rtl/>
          <w:lang w:val="en-IL"/>
        </w:rPr>
        <w:t>הנכונות להשתמש בה</w:t>
      </w:r>
      <w:r w:rsidR="00636404">
        <w:rPr>
          <w:rFonts w:cs="Arial" w:hint="cs"/>
          <w:rtl/>
          <w:lang w:val="en-IL"/>
        </w:rPr>
        <w:t>ן לעבודת ה'</w:t>
      </w:r>
      <w:r w:rsidRPr="004E68C6">
        <w:rPr>
          <w:rFonts w:cs="Arial"/>
          <w:rtl/>
          <w:lang w:val="en-IL"/>
        </w:rPr>
        <w:t xml:space="preserve">, ללא תלות בשאלה </w:t>
      </w:r>
      <w:r w:rsidR="00636404">
        <w:rPr>
          <w:rFonts w:cs="Arial" w:hint="cs"/>
          <w:rtl/>
          <w:lang w:val="en-IL"/>
        </w:rPr>
        <w:t>איך יעשו זאת</w:t>
      </w:r>
      <w:r w:rsidRPr="004E68C6">
        <w:rPr>
          <w:rFonts w:cs="Arial"/>
          <w:rtl/>
          <w:lang w:val="en-IL"/>
        </w:rPr>
        <w:t>.</w:t>
      </w:r>
      <w:r w:rsidR="00636404">
        <w:rPr>
          <w:rFonts w:cs="Arial" w:hint="cs"/>
          <w:rtl/>
          <w:lang w:val="en-IL"/>
        </w:rPr>
        <w:t xml:space="preserve"> </w:t>
      </w:r>
      <w:r w:rsidRPr="004E68C6">
        <w:rPr>
          <w:rFonts w:cs="Arial"/>
          <w:rtl/>
          <w:lang w:val="en-IL"/>
        </w:rPr>
        <w:t>לפי הבנה זו, אילו האנשים היו מחליטים שלא להקטיר את הקטורת, המחתות לא היו חוזרות לחולין, משום שהקדושה כבר חלה עליהן</w:t>
      </w:r>
      <w:r w:rsidR="008C463B">
        <w:rPr>
          <w:rFonts w:cs="Arial" w:hint="cs"/>
          <w:rtl/>
          <w:lang w:val="en-IL"/>
        </w:rPr>
        <w:t>.</w:t>
      </w:r>
    </w:p>
    <w:p w14:paraId="6B8721AB" w14:textId="0D22D4F6" w:rsidR="00DC5D4B" w:rsidRDefault="00DC5D4B" w:rsidP="00497EA6">
      <w:pPr>
        <w:jc w:val="both"/>
        <w:rPr>
          <w:rFonts w:cs="Arial"/>
          <w:rtl/>
          <w:lang w:val="en-IL"/>
        </w:rPr>
      </w:pPr>
      <w:r>
        <w:rPr>
          <w:rFonts w:cs="Arial" w:hint="cs"/>
          <w:rtl/>
          <w:lang w:val="en-IL"/>
        </w:rPr>
        <w:t>מכאן ניתן לדייק שהמעשה של מאתיים חמישים האנשים כלל גם רכיב חיובי</w:t>
      </w:r>
      <w:r w:rsidR="006F6161">
        <w:rPr>
          <w:rFonts w:cs="Arial" w:hint="cs"/>
          <w:rtl/>
          <w:lang w:val="en-IL"/>
        </w:rPr>
        <w:t xml:space="preserve"> </w:t>
      </w:r>
      <w:r w:rsidR="006F6161">
        <w:rPr>
          <w:rFonts w:cs="Arial"/>
          <w:rtl/>
          <w:lang w:val="en-IL"/>
        </w:rPr>
        <w:t>–</w:t>
      </w:r>
      <w:r w:rsidR="006F6161">
        <w:rPr>
          <w:rFonts w:cs="Arial" w:hint="cs"/>
          <w:rtl/>
          <w:lang w:val="en-IL"/>
        </w:rPr>
        <w:t xml:space="preserve"> הרכיב הראשוני של הבאת המחתות. הרצון הראשוני להתקרב. </w:t>
      </w:r>
      <w:r w:rsidR="001460E3" w:rsidRPr="001460E3">
        <w:rPr>
          <w:rFonts w:cs="Arial"/>
          <w:rtl/>
          <w:lang w:val="en-IL"/>
        </w:rPr>
        <w:t xml:space="preserve">הבחנה זו מאפשרת לראות את הציפוי למזבח </w:t>
      </w:r>
      <w:r w:rsidR="00585634">
        <w:rPr>
          <w:rFonts w:cs="Arial" w:hint="cs"/>
          <w:rtl/>
          <w:lang w:val="en-IL"/>
        </w:rPr>
        <w:t xml:space="preserve">כמורכב משני רבדים. </w:t>
      </w:r>
      <w:r w:rsidR="000947E5" w:rsidRPr="00DD0E36">
        <w:rPr>
          <w:rFonts w:cs="Arial"/>
          <w:rtl/>
          <w:lang w:val="en-IL"/>
        </w:rPr>
        <w:t>מצד אחד, הוא משמר את הרובד החיובי שבמעשה של מאתיים וחמישים האנשים – עצם הרצון להתקרב אל הקב"ה ולהיות שותפים בעבודת הקודש.</w:t>
      </w:r>
      <w:r w:rsidR="000947E5">
        <w:rPr>
          <w:rFonts w:cs="Arial" w:hint="cs"/>
          <w:rtl/>
          <w:lang w:val="en-IL"/>
        </w:rPr>
        <w:t xml:space="preserve"> ומצד שני הוא מזכיר </w:t>
      </w:r>
      <w:r w:rsidR="00497EA6">
        <w:rPr>
          <w:rFonts w:cs="Arial" w:hint="cs"/>
          <w:rtl/>
          <w:lang w:val="en-IL"/>
        </w:rPr>
        <w:t>ש</w:t>
      </w:r>
      <w:r w:rsidR="00497EA6" w:rsidRPr="00497EA6">
        <w:rPr>
          <w:rFonts w:cs="Arial"/>
          <w:rtl/>
          <w:lang w:val="en-IL"/>
        </w:rPr>
        <w:t>ההתקרבות למקדש אינה בלתי מוגבלת, ויש מסגרת שבתוכה מותר לפעול</w:t>
      </w:r>
      <w:r w:rsidR="00497EA6">
        <w:rPr>
          <w:rFonts w:cs="Arial" w:hint="cs"/>
          <w:rtl/>
          <w:lang w:val="en-IL"/>
        </w:rPr>
        <w:t>.</w:t>
      </w:r>
    </w:p>
    <w:p w14:paraId="6E833ADA" w14:textId="54086026" w:rsidR="001073DE" w:rsidRDefault="001073DE" w:rsidP="001073DE">
      <w:pPr>
        <w:jc w:val="both"/>
        <w:rPr>
          <w:rFonts w:cs="Arial"/>
          <w:rtl/>
          <w:lang w:val="en-IL"/>
        </w:rPr>
      </w:pPr>
      <w:r w:rsidRPr="001073DE">
        <w:rPr>
          <w:rFonts w:cs="Arial"/>
          <w:rtl/>
          <w:lang w:val="en-IL"/>
        </w:rPr>
        <w:t>הציווי לקחת את המחתות ולעשות מהן ציפוי למזבח מעיד על כך שיש לראות את מעשה ההקרבה של מאתיים וחמישים האנשים לא רק כסיפור מן העבר, אלא כיסוד מחייב בעבודת ה' בהווה ובעתיד. עצם השאיפה שלהם להתקרב, גם אם סטתה מהמסגרת הנכונה, נשמרה כחלק קבוע מהמקדש.</w:t>
      </w:r>
      <w:r w:rsidR="00300789">
        <w:rPr>
          <w:rFonts w:cs="Arial" w:hint="cs"/>
          <w:rtl/>
          <w:lang w:val="en-IL"/>
        </w:rPr>
        <w:t xml:space="preserve"> כל אדם שבא להקריב קורבן מאז </w:t>
      </w:r>
      <w:r w:rsidR="00D15967">
        <w:rPr>
          <w:rFonts w:cs="Arial" w:hint="cs"/>
          <w:rtl/>
          <w:lang w:val="en-IL"/>
        </w:rPr>
        <w:t>עושה זאת על מזבח המצופה במחתות שהם.</w:t>
      </w:r>
      <w:r w:rsidRPr="001073DE">
        <w:rPr>
          <w:rFonts w:cs="Arial"/>
          <w:rtl/>
          <w:lang w:val="en-IL"/>
        </w:rPr>
        <w:t xml:space="preserve"> ציפוי </w:t>
      </w:r>
      <w:r w:rsidR="00D15967">
        <w:rPr>
          <w:rFonts w:cs="Arial" w:hint="cs"/>
          <w:rtl/>
          <w:lang w:val="en-IL"/>
        </w:rPr>
        <w:t xml:space="preserve">זה </w:t>
      </w:r>
      <w:r w:rsidRPr="001073DE">
        <w:rPr>
          <w:rFonts w:cs="Arial"/>
          <w:rtl/>
          <w:lang w:val="en-IL"/>
        </w:rPr>
        <w:t>משקף את המתח שבין הרצון להתקדש לבין גבולות הגישה לקודש: מצד אחד, הוא מנציח את הכוונה החיובית והנכונות למסירות נפש; ומצד שני, הוא מציב גבול ברור</w:t>
      </w:r>
      <w:r w:rsidR="00D15967">
        <w:rPr>
          <w:rFonts w:cs="Arial" w:hint="cs"/>
          <w:rtl/>
          <w:lang w:val="en-IL"/>
        </w:rPr>
        <w:t xml:space="preserve"> למה מותר לא</w:t>
      </w:r>
      <w:r w:rsidR="00896BC6">
        <w:rPr>
          <w:rFonts w:cs="Arial" w:hint="cs"/>
          <w:rtl/>
          <w:lang w:val="en-IL"/>
        </w:rPr>
        <w:t>ד</w:t>
      </w:r>
      <w:r w:rsidR="00D15967">
        <w:rPr>
          <w:rFonts w:cs="Arial" w:hint="cs"/>
          <w:rtl/>
          <w:lang w:val="en-IL"/>
        </w:rPr>
        <w:t xml:space="preserve">ם לעשות </w:t>
      </w:r>
      <w:r w:rsidR="00D70625">
        <w:rPr>
          <w:rFonts w:cs="Arial" w:hint="cs"/>
          <w:rtl/>
          <w:lang w:val="en-IL"/>
        </w:rPr>
        <w:t>במסגרת זו.</w:t>
      </w:r>
    </w:p>
    <w:p w14:paraId="07700E28" w14:textId="11B5EA01" w:rsidR="00621EEA" w:rsidRDefault="00621EEA" w:rsidP="00EC63D8">
      <w:pPr>
        <w:jc w:val="both"/>
        <w:rPr>
          <w:rFonts w:cs="Arial"/>
          <w:rtl/>
          <w:lang w:val="en-IL"/>
        </w:rPr>
      </w:pPr>
      <w:r w:rsidRPr="00621EEA">
        <w:rPr>
          <w:rFonts w:cs="Arial"/>
          <w:rtl/>
          <w:lang w:val="en-IL"/>
        </w:rPr>
        <w:t>כיוון זה – שמבקש להבחין בין הכוונה הפנימית לבין מעשה החטא בפועל – מופיע גם בדברי השם משמואל</w:t>
      </w:r>
      <w:r w:rsidR="00102397">
        <w:rPr>
          <w:rStyle w:val="FootnoteReference"/>
          <w:rFonts w:cs="Arial"/>
          <w:rtl/>
          <w:lang w:val="en-IL"/>
        </w:rPr>
        <w:footnoteReference w:id="7"/>
      </w:r>
      <w:r w:rsidRPr="00621EEA">
        <w:rPr>
          <w:rFonts w:cs="Arial"/>
          <w:rtl/>
          <w:lang w:val="en-IL"/>
        </w:rPr>
        <w:t xml:space="preserve">. הוא מציע לראות דווקא את מידת העוז שגילו מאתיים וחמישים האנשים כמרכיב חיובי שראוי להשתמר. </w:t>
      </w:r>
      <w:r w:rsidR="009414E9">
        <w:rPr>
          <w:rFonts w:cs="Arial" w:hint="cs"/>
          <w:rtl/>
          <w:lang w:val="en-IL"/>
        </w:rPr>
        <w:t>הוא רואה משהו חיובי בבחירה שלהם להתעמת עם משה, ולא לקבל את המצב הקיים</w:t>
      </w:r>
      <w:r w:rsidR="00EC63D8">
        <w:rPr>
          <w:rFonts w:cs="Arial" w:hint="cs"/>
          <w:rtl/>
          <w:lang w:val="en-IL"/>
        </w:rPr>
        <w:t xml:space="preserve">. </w:t>
      </w:r>
      <w:r w:rsidR="006E0653">
        <w:rPr>
          <w:rFonts w:cs="Arial" w:hint="cs"/>
          <w:rtl/>
          <w:lang w:val="en-IL"/>
        </w:rPr>
        <w:t>מעבר לרצון, השם משמואל שם על נס גם את הכוח אליו נדרשו מאתיים וחמישים האנשים.</w:t>
      </w:r>
    </w:p>
    <w:p w14:paraId="0CD8F3C8" w14:textId="63FC6062" w:rsidR="00621EEA" w:rsidRPr="00621EEA" w:rsidRDefault="00621EEA" w:rsidP="00621EEA">
      <w:pPr>
        <w:jc w:val="both"/>
        <w:rPr>
          <w:rFonts w:cs="Arial"/>
          <w:rtl/>
          <w:lang w:val="en-IL"/>
        </w:rPr>
      </w:pPr>
      <w:r w:rsidRPr="00621EEA">
        <w:rPr>
          <w:rFonts w:cs="Arial"/>
          <w:rtl/>
          <w:lang w:val="en-IL"/>
        </w:rPr>
        <w:t xml:space="preserve">לשיטתו, הקרבה אל הקודש מחייבת לא רק שפלות רוח, אלא גם תוספת של עזות קדושה – אומץ פנימי, תביעה רוחנית עמוקה, ונכונות לפרוץ קדימה. זהו שינוי במגמת עבודת ה': </w:t>
      </w:r>
      <w:r>
        <w:rPr>
          <w:rFonts w:cs="Arial" w:hint="cs"/>
          <w:rtl/>
          <w:lang w:val="en-IL"/>
        </w:rPr>
        <w:t>לפני מאתיים וחמישים האנשים</w:t>
      </w:r>
      <w:r w:rsidRPr="00621EEA">
        <w:rPr>
          <w:rFonts w:cs="Arial"/>
          <w:rtl/>
          <w:lang w:val="en-IL"/>
        </w:rPr>
        <w:t xml:space="preserve">, </w:t>
      </w:r>
      <w:r w:rsidR="009F02B2">
        <w:rPr>
          <w:rFonts w:cs="Arial" w:hint="cs"/>
          <w:rtl/>
          <w:lang w:val="en-IL"/>
        </w:rPr>
        <w:t>למזבח לא היה ציפוי, כך ש</w:t>
      </w:r>
      <w:r w:rsidRPr="00621EEA">
        <w:rPr>
          <w:rFonts w:cs="Arial"/>
          <w:rtl/>
          <w:lang w:val="en-IL"/>
        </w:rPr>
        <w:t>הק</w:t>
      </w:r>
      <w:r>
        <w:rPr>
          <w:rFonts w:cs="Arial" w:hint="cs"/>
          <w:rtl/>
          <w:lang w:val="en-IL"/>
        </w:rPr>
        <w:t>ו</w:t>
      </w:r>
      <w:r w:rsidRPr="00621EEA">
        <w:rPr>
          <w:rFonts w:cs="Arial"/>
          <w:rtl/>
          <w:lang w:val="en-IL"/>
        </w:rPr>
        <w:t>רבן הונח על גבי האדמה ורמז על שפלות</w:t>
      </w:r>
      <w:r w:rsidR="009F02B2">
        <w:rPr>
          <w:rFonts w:cs="Arial" w:hint="cs"/>
          <w:rtl/>
          <w:lang w:val="en-IL"/>
        </w:rPr>
        <w:t xml:space="preserve">. המעשה של מאתיים וחמישים האנשים </w:t>
      </w:r>
      <w:r w:rsidR="0021467C">
        <w:rPr>
          <w:rFonts w:cs="Arial" w:hint="cs"/>
          <w:rtl/>
          <w:lang w:val="en-IL"/>
        </w:rPr>
        <w:t xml:space="preserve">גרם לכך שהקורבן יהיה מונח על </w:t>
      </w:r>
      <w:r w:rsidRPr="00621EEA">
        <w:rPr>
          <w:rFonts w:cs="Arial"/>
          <w:rtl/>
          <w:lang w:val="en-IL"/>
        </w:rPr>
        <w:t>גבי נחושת – זכר לאותה עזות שנתגלתה במעשה האנשים.</w:t>
      </w:r>
    </w:p>
    <w:p w14:paraId="2370B212" w14:textId="77777777" w:rsidR="00621EEA" w:rsidRPr="001073DE" w:rsidRDefault="00621EEA" w:rsidP="001073DE">
      <w:pPr>
        <w:jc w:val="both"/>
        <w:rPr>
          <w:rFonts w:cs="Arial"/>
          <w:lang w:val="en-IL"/>
        </w:rPr>
      </w:pPr>
    </w:p>
    <w:p w14:paraId="1A46B629" w14:textId="052EC689" w:rsidR="00DD0E36" w:rsidRPr="001073DE" w:rsidRDefault="00DD0E36" w:rsidP="001073DE">
      <w:pPr>
        <w:jc w:val="both"/>
        <w:rPr>
          <w:rFonts w:cs="Arial"/>
          <w:rtl/>
          <w:lang w:val="en-IL"/>
        </w:rPr>
      </w:pPr>
    </w:p>
    <w:sectPr w:rsidR="00DD0E36" w:rsidRPr="001073DE" w:rsidSect="00E6779E">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483A52" w14:textId="77777777" w:rsidR="00E83EB2" w:rsidRDefault="00E83EB2" w:rsidP="007F0B7E">
      <w:pPr>
        <w:spacing w:after="0" w:line="240" w:lineRule="auto"/>
      </w:pPr>
      <w:r>
        <w:separator/>
      </w:r>
    </w:p>
  </w:endnote>
  <w:endnote w:type="continuationSeparator" w:id="0">
    <w:p w14:paraId="50BA8839" w14:textId="77777777" w:rsidR="00E83EB2" w:rsidRDefault="00E83EB2" w:rsidP="007F0B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A041EA" w14:textId="77777777" w:rsidR="00E83EB2" w:rsidRDefault="00E83EB2" w:rsidP="007F0B7E">
      <w:pPr>
        <w:spacing w:after="0" w:line="240" w:lineRule="auto"/>
      </w:pPr>
      <w:r>
        <w:separator/>
      </w:r>
    </w:p>
  </w:footnote>
  <w:footnote w:type="continuationSeparator" w:id="0">
    <w:p w14:paraId="12882ED0" w14:textId="77777777" w:rsidR="00E83EB2" w:rsidRDefault="00E83EB2" w:rsidP="007F0B7E">
      <w:pPr>
        <w:spacing w:after="0" w:line="240" w:lineRule="auto"/>
      </w:pPr>
      <w:r>
        <w:continuationSeparator/>
      </w:r>
    </w:p>
  </w:footnote>
  <w:footnote w:id="1">
    <w:p w14:paraId="68323661" w14:textId="1776B7D7" w:rsidR="009B72E7" w:rsidRDefault="009B72E7">
      <w:pPr>
        <w:pStyle w:val="FootnoteText"/>
        <w:rPr>
          <w:rFonts w:hint="cs"/>
        </w:rPr>
      </w:pPr>
      <w:r>
        <w:rPr>
          <w:rStyle w:val="FootnoteReference"/>
        </w:rPr>
        <w:footnoteRef/>
      </w:r>
      <w:r>
        <w:rPr>
          <w:rtl/>
        </w:rPr>
        <w:t xml:space="preserve"> </w:t>
      </w:r>
      <w:r>
        <w:rPr>
          <w:rFonts w:hint="cs"/>
          <w:rtl/>
        </w:rPr>
        <w:t>כפי שדנו בהרחבה בשיעור מחלוקת קורח ועדתו.</w:t>
      </w:r>
    </w:p>
  </w:footnote>
  <w:footnote w:id="2">
    <w:p w14:paraId="249F2F56" w14:textId="1D4DDABF" w:rsidR="00F614EA" w:rsidRDefault="00F614EA">
      <w:pPr>
        <w:pStyle w:val="FootnoteText"/>
        <w:rPr>
          <w:rFonts w:hint="cs"/>
        </w:rPr>
      </w:pPr>
      <w:r>
        <w:rPr>
          <w:rStyle w:val="FootnoteReference"/>
        </w:rPr>
        <w:footnoteRef/>
      </w:r>
      <w:r>
        <w:rPr>
          <w:rtl/>
        </w:rPr>
        <w:t xml:space="preserve"> </w:t>
      </w:r>
      <w:r>
        <w:rPr>
          <w:rFonts w:hint="cs"/>
          <w:rtl/>
        </w:rPr>
        <w:t>לא ברור אם אהרון עצמו הקטיר גם הוא קטורת.</w:t>
      </w:r>
    </w:p>
  </w:footnote>
  <w:footnote w:id="3">
    <w:p w14:paraId="24009F8D" w14:textId="612B67D9" w:rsidR="00A0721A" w:rsidRDefault="00A0721A">
      <w:pPr>
        <w:pStyle w:val="FootnoteText"/>
        <w:rPr>
          <w:rFonts w:hint="cs"/>
        </w:rPr>
      </w:pPr>
      <w:r>
        <w:rPr>
          <w:rStyle w:val="FootnoteReference"/>
        </w:rPr>
        <w:footnoteRef/>
      </w:r>
      <w:r>
        <w:rPr>
          <w:rtl/>
        </w:rPr>
        <w:t xml:space="preserve"> </w:t>
      </w:r>
      <w:r>
        <w:rPr>
          <w:rFonts w:hint="cs"/>
          <w:rtl/>
        </w:rPr>
        <w:t>משה לא מסביר כיצד הקטרת הקטורת תוכיח מי הוא הקדוש.</w:t>
      </w:r>
    </w:p>
  </w:footnote>
  <w:footnote w:id="4">
    <w:p w14:paraId="2B458B14" w14:textId="6B16C61F" w:rsidR="009731CE" w:rsidRDefault="009731CE">
      <w:pPr>
        <w:pStyle w:val="FootnoteText"/>
        <w:rPr>
          <w:rFonts w:hint="cs"/>
        </w:rPr>
      </w:pPr>
      <w:r>
        <w:rPr>
          <w:rStyle w:val="FootnoteReference"/>
        </w:rPr>
        <w:footnoteRef/>
      </w:r>
      <w:r>
        <w:rPr>
          <w:rtl/>
        </w:rPr>
        <w:t xml:space="preserve"> </w:t>
      </w:r>
      <w:r w:rsidR="00650920">
        <w:rPr>
          <w:rFonts w:hint="cs"/>
          <w:rtl/>
        </w:rPr>
        <w:t>לכאורה, היינו אולי אפילו מצפים שכלים אלו יהיו אסורים בהנאה, כמו חפצים אחרים בהם נעשה איסור</w:t>
      </w:r>
      <w:r w:rsidR="00A47B65">
        <w:rPr>
          <w:rFonts w:hint="cs"/>
          <w:rtl/>
        </w:rPr>
        <w:t xml:space="preserve">, </w:t>
      </w:r>
      <w:r w:rsidR="00650920">
        <w:rPr>
          <w:rFonts w:hint="cs"/>
          <w:rtl/>
        </w:rPr>
        <w:t xml:space="preserve">כפי שעולה מרש"י </w:t>
      </w:r>
      <w:r w:rsidR="00A47B65">
        <w:rPr>
          <w:rFonts w:hint="cs"/>
          <w:rtl/>
        </w:rPr>
        <w:t>(</w:t>
      </w:r>
      <w:r w:rsidR="00650920">
        <w:rPr>
          <w:rFonts w:hint="cs"/>
          <w:rtl/>
        </w:rPr>
        <w:t>במדב</w:t>
      </w:r>
      <w:r w:rsidR="00A47B65">
        <w:rPr>
          <w:rFonts w:hint="cs"/>
          <w:rtl/>
        </w:rPr>
        <w:t>ר פרק יז פסוק ב ד"ה כי קדשו</w:t>
      </w:r>
      <w:r w:rsidR="00650920">
        <w:rPr>
          <w:rFonts w:hint="cs"/>
          <w:rtl/>
        </w:rPr>
        <w:t>)</w:t>
      </w:r>
    </w:p>
  </w:footnote>
  <w:footnote w:id="5">
    <w:p w14:paraId="414E1015" w14:textId="482D4009" w:rsidR="00B35944" w:rsidRDefault="00B35944">
      <w:pPr>
        <w:pStyle w:val="FootnoteText"/>
        <w:rPr>
          <w:rFonts w:hint="cs"/>
        </w:rPr>
      </w:pPr>
      <w:r>
        <w:rPr>
          <w:rStyle w:val="FootnoteReference"/>
        </w:rPr>
        <w:footnoteRef/>
      </w:r>
      <w:r>
        <w:rPr>
          <w:rtl/>
        </w:rPr>
        <w:t xml:space="preserve"> </w:t>
      </w:r>
      <w:r>
        <w:rPr>
          <w:rFonts w:hint="cs"/>
          <w:rtl/>
        </w:rPr>
        <w:t xml:space="preserve">מי שהולך בכיוון הזה הוא הנצי"ב (העמק דבר </w:t>
      </w:r>
      <w:r w:rsidR="00815060">
        <w:rPr>
          <w:rFonts w:hint="cs"/>
          <w:rtl/>
        </w:rPr>
        <w:t xml:space="preserve">במדבר פרק יז פסוק ג ד"ה </w:t>
      </w:r>
      <w:r w:rsidR="00815060" w:rsidRPr="00815060">
        <w:rPr>
          <w:rFonts w:cs="Arial"/>
          <w:rtl/>
        </w:rPr>
        <w:t>ויהיו לאות לבני ישראל</w:t>
      </w:r>
      <w:r w:rsidR="00815060">
        <w:rPr>
          <w:rFonts w:cs="Arial" w:hint="cs"/>
          <w:rtl/>
        </w:rPr>
        <w:t>)</w:t>
      </w:r>
      <w:r w:rsidR="00B20F4F">
        <w:rPr>
          <w:rFonts w:cs="Arial" w:hint="cs"/>
          <w:rtl/>
        </w:rPr>
        <w:t xml:space="preserve">. הוא מסביר כי הקב"ה רצה שהציפוי יהיה סימן לכך </w:t>
      </w:r>
      <w:r w:rsidR="004E7CD3">
        <w:rPr>
          <w:rFonts w:cs="Arial" w:hint="cs"/>
          <w:rtl/>
        </w:rPr>
        <w:t>שהאדם לא יכול להתקדש יותר ממה שה' רוצה שהוא יתקדש.</w:t>
      </w:r>
    </w:p>
  </w:footnote>
  <w:footnote w:id="6">
    <w:p w14:paraId="63064E16" w14:textId="101ECDD0" w:rsidR="002E07AA" w:rsidRDefault="002E07AA">
      <w:pPr>
        <w:pStyle w:val="FootnoteText"/>
        <w:rPr>
          <w:rFonts w:hint="cs"/>
        </w:rPr>
      </w:pPr>
      <w:r>
        <w:rPr>
          <w:rStyle w:val="FootnoteReference"/>
        </w:rPr>
        <w:footnoteRef/>
      </w:r>
      <w:r>
        <w:rPr>
          <w:rtl/>
        </w:rPr>
        <w:t xml:space="preserve"> </w:t>
      </w:r>
      <w:r>
        <w:rPr>
          <w:rFonts w:hint="cs"/>
          <w:rtl/>
        </w:rPr>
        <w:t xml:space="preserve">אור החיים במדבר פרק יז פסוק ג ד"ה </w:t>
      </w:r>
      <w:r w:rsidR="002A1ADF" w:rsidRPr="002A1ADF">
        <w:rPr>
          <w:rFonts w:cs="Arial"/>
          <w:rtl/>
        </w:rPr>
        <w:t>כי הקריבום לפני ה' ויקדשו</w:t>
      </w:r>
    </w:p>
  </w:footnote>
  <w:footnote w:id="7">
    <w:p w14:paraId="0ADEE6EF" w14:textId="3D3E3BC1" w:rsidR="00102397" w:rsidRDefault="00102397">
      <w:pPr>
        <w:pStyle w:val="FootnoteText"/>
        <w:rPr>
          <w:rFonts w:hint="cs"/>
        </w:rPr>
      </w:pPr>
      <w:r>
        <w:rPr>
          <w:rStyle w:val="FootnoteReference"/>
        </w:rPr>
        <w:footnoteRef/>
      </w:r>
      <w:r>
        <w:rPr>
          <w:rtl/>
        </w:rPr>
        <w:t xml:space="preserve"> </w:t>
      </w:r>
      <w:r w:rsidR="00997214">
        <w:rPr>
          <w:rFonts w:hint="cs"/>
          <w:rtl/>
        </w:rPr>
        <w:t xml:space="preserve">שם משמואל פרשת קרח שנת תרע"ד ד"ה </w:t>
      </w:r>
      <w:r w:rsidR="00997214" w:rsidRPr="00997214">
        <w:rPr>
          <w:rFonts w:cs="Arial"/>
          <w:rtl/>
        </w:rPr>
        <w:t>ועשו אותם רקועי פחים צפוי למזבח</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51A"/>
    <w:rsid w:val="00000D64"/>
    <w:rsid w:val="00004770"/>
    <w:rsid w:val="00005788"/>
    <w:rsid w:val="0001175B"/>
    <w:rsid w:val="000124B9"/>
    <w:rsid w:val="00016D5F"/>
    <w:rsid w:val="00020D74"/>
    <w:rsid w:val="00022CA7"/>
    <w:rsid w:val="0002371A"/>
    <w:rsid w:val="00023752"/>
    <w:rsid w:val="00023CCD"/>
    <w:rsid w:val="0002632F"/>
    <w:rsid w:val="00031E56"/>
    <w:rsid w:val="00033513"/>
    <w:rsid w:val="00047034"/>
    <w:rsid w:val="00050729"/>
    <w:rsid w:val="0005404C"/>
    <w:rsid w:val="000566A9"/>
    <w:rsid w:val="00057D54"/>
    <w:rsid w:val="0006078E"/>
    <w:rsid w:val="0006151F"/>
    <w:rsid w:val="0006163D"/>
    <w:rsid w:val="00063049"/>
    <w:rsid w:val="00063746"/>
    <w:rsid w:val="00065901"/>
    <w:rsid w:val="0006680C"/>
    <w:rsid w:val="0006706F"/>
    <w:rsid w:val="00077909"/>
    <w:rsid w:val="00077BDC"/>
    <w:rsid w:val="00086223"/>
    <w:rsid w:val="00092283"/>
    <w:rsid w:val="000947E5"/>
    <w:rsid w:val="00097A52"/>
    <w:rsid w:val="000A01AC"/>
    <w:rsid w:val="000A75B2"/>
    <w:rsid w:val="000B1990"/>
    <w:rsid w:val="000B3635"/>
    <w:rsid w:val="000B65B0"/>
    <w:rsid w:val="000C380E"/>
    <w:rsid w:val="000C52C0"/>
    <w:rsid w:val="000C5447"/>
    <w:rsid w:val="000D2FB6"/>
    <w:rsid w:val="000D3C09"/>
    <w:rsid w:val="000D41B2"/>
    <w:rsid w:val="000D6BA3"/>
    <w:rsid w:val="000E6422"/>
    <w:rsid w:val="000E6795"/>
    <w:rsid w:val="000E6EFA"/>
    <w:rsid w:val="000F1BB2"/>
    <w:rsid w:val="000F471B"/>
    <w:rsid w:val="000F5685"/>
    <w:rsid w:val="000F5DDD"/>
    <w:rsid w:val="00100308"/>
    <w:rsid w:val="001004A7"/>
    <w:rsid w:val="00102397"/>
    <w:rsid w:val="00102919"/>
    <w:rsid w:val="001054DB"/>
    <w:rsid w:val="001073DE"/>
    <w:rsid w:val="00114107"/>
    <w:rsid w:val="00114FBC"/>
    <w:rsid w:val="0011713B"/>
    <w:rsid w:val="00120BE0"/>
    <w:rsid w:val="00121A9B"/>
    <w:rsid w:val="00125EE0"/>
    <w:rsid w:val="00126B5F"/>
    <w:rsid w:val="00133353"/>
    <w:rsid w:val="001375F5"/>
    <w:rsid w:val="00142F03"/>
    <w:rsid w:val="001440B1"/>
    <w:rsid w:val="00144E6D"/>
    <w:rsid w:val="001460E3"/>
    <w:rsid w:val="00146C2B"/>
    <w:rsid w:val="00146EC1"/>
    <w:rsid w:val="00154C75"/>
    <w:rsid w:val="0017258D"/>
    <w:rsid w:val="0017283D"/>
    <w:rsid w:val="00173673"/>
    <w:rsid w:val="00174D78"/>
    <w:rsid w:val="00176ED3"/>
    <w:rsid w:val="001773F3"/>
    <w:rsid w:val="00186BFE"/>
    <w:rsid w:val="001872A8"/>
    <w:rsid w:val="00190DA9"/>
    <w:rsid w:val="00191C0B"/>
    <w:rsid w:val="00191C1E"/>
    <w:rsid w:val="001947DE"/>
    <w:rsid w:val="00195516"/>
    <w:rsid w:val="001A4593"/>
    <w:rsid w:val="001A4F4F"/>
    <w:rsid w:val="001A77F6"/>
    <w:rsid w:val="001B23B0"/>
    <w:rsid w:val="001C01E2"/>
    <w:rsid w:val="001C422C"/>
    <w:rsid w:val="001C6818"/>
    <w:rsid w:val="001D125C"/>
    <w:rsid w:val="001D258F"/>
    <w:rsid w:val="001D5E3E"/>
    <w:rsid w:val="001E62CF"/>
    <w:rsid w:val="00200331"/>
    <w:rsid w:val="00200FFC"/>
    <w:rsid w:val="00203429"/>
    <w:rsid w:val="00203A8D"/>
    <w:rsid w:val="00204BD2"/>
    <w:rsid w:val="002131A0"/>
    <w:rsid w:val="00213A21"/>
    <w:rsid w:val="0021467C"/>
    <w:rsid w:val="0021655F"/>
    <w:rsid w:val="0022749C"/>
    <w:rsid w:val="002348CA"/>
    <w:rsid w:val="00237BD0"/>
    <w:rsid w:val="00243C7D"/>
    <w:rsid w:val="002454F2"/>
    <w:rsid w:val="0024586D"/>
    <w:rsid w:val="00245AD7"/>
    <w:rsid w:val="002463C8"/>
    <w:rsid w:val="0024796D"/>
    <w:rsid w:val="00250BDD"/>
    <w:rsid w:val="00255A41"/>
    <w:rsid w:val="00255C7E"/>
    <w:rsid w:val="00262DAF"/>
    <w:rsid w:val="00263398"/>
    <w:rsid w:val="00280E04"/>
    <w:rsid w:val="00281C20"/>
    <w:rsid w:val="00283828"/>
    <w:rsid w:val="0028469B"/>
    <w:rsid w:val="002960E2"/>
    <w:rsid w:val="002A1ADF"/>
    <w:rsid w:val="002A6090"/>
    <w:rsid w:val="002A6B5B"/>
    <w:rsid w:val="002B0E45"/>
    <w:rsid w:val="002B1480"/>
    <w:rsid w:val="002B177D"/>
    <w:rsid w:val="002B1DA8"/>
    <w:rsid w:val="002C017B"/>
    <w:rsid w:val="002C069B"/>
    <w:rsid w:val="002C4D5A"/>
    <w:rsid w:val="002C70F3"/>
    <w:rsid w:val="002D20AA"/>
    <w:rsid w:val="002E07AA"/>
    <w:rsid w:val="002F115B"/>
    <w:rsid w:val="002F3CB1"/>
    <w:rsid w:val="002F3D55"/>
    <w:rsid w:val="002F650C"/>
    <w:rsid w:val="00300789"/>
    <w:rsid w:val="00300D6F"/>
    <w:rsid w:val="003016E0"/>
    <w:rsid w:val="00303484"/>
    <w:rsid w:val="003110BC"/>
    <w:rsid w:val="00317ED8"/>
    <w:rsid w:val="003232CA"/>
    <w:rsid w:val="00324238"/>
    <w:rsid w:val="00324A88"/>
    <w:rsid w:val="003256EB"/>
    <w:rsid w:val="0033051D"/>
    <w:rsid w:val="00330EA2"/>
    <w:rsid w:val="003312AB"/>
    <w:rsid w:val="0033574B"/>
    <w:rsid w:val="00335A39"/>
    <w:rsid w:val="00341AFA"/>
    <w:rsid w:val="0034351B"/>
    <w:rsid w:val="00352104"/>
    <w:rsid w:val="00354344"/>
    <w:rsid w:val="003546AD"/>
    <w:rsid w:val="003569E3"/>
    <w:rsid w:val="00357360"/>
    <w:rsid w:val="00384A44"/>
    <w:rsid w:val="003853E3"/>
    <w:rsid w:val="00392D27"/>
    <w:rsid w:val="0039423E"/>
    <w:rsid w:val="003A1DD1"/>
    <w:rsid w:val="003B1601"/>
    <w:rsid w:val="003B3500"/>
    <w:rsid w:val="003C2905"/>
    <w:rsid w:val="003C2EB7"/>
    <w:rsid w:val="003D0627"/>
    <w:rsid w:val="003D101B"/>
    <w:rsid w:val="003D1888"/>
    <w:rsid w:val="003D6783"/>
    <w:rsid w:val="003D678F"/>
    <w:rsid w:val="003E0B3C"/>
    <w:rsid w:val="003E0BB9"/>
    <w:rsid w:val="003E26A7"/>
    <w:rsid w:val="003E5D52"/>
    <w:rsid w:val="003E690B"/>
    <w:rsid w:val="003F195D"/>
    <w:rsid w:val="003F5013"/>
    <w:rsid w:val="00400F32"/>
    <w:rsid w:val="00405C43"/>
    <w:rsid w:val="004107AC"/>
    <w:rsid w:val="00410C10"/>
    <w:rsid w:val="00412F2D"/>
    <w:rsid w:val="00413632"/>
    <w:rsid w:val="00421A5C"/>
    <w:rsid w:val="004338AA"/>
    <w:rsid w:val="00433FF0"/>
    <w:rsid w:val="00437B19"/>
    <w:rsid w:val="004445B0"/>
    <w:rsid w:val="0044646C"/>
    <w:rsid w:val="004465C6"/>
    <w:rsid w:val="00447741"/>
    <w:rsid w:val="00447D2E"/>
    <w:rsid w:val="00447E35"/>
    <w:rsid w:val="004573CC"/>
    <w:rsid w:val="00460C98"/>
    <w:rsid w:val="00462C4C"/>
    <w:rsid w:val="00463697"/>
    <w:rsid w:val="00472EB8"/>
    <w:rsid w:val="00477677"/>
    <w:rsid w:val="00482329"/>
    <w:rsid w:val="00487DE5"/>
    <w:rsid w:val="00491B13"/>
    <w:rsid w:val="0049434C"/>
    <w:rsid w:val="00496BB8"/>
    <w:rsid w:val="00496E2E"/>
    <w:rsid w:val="0049770D"/>
    <w:rsid w:val="00497EA6"/>
    <w:rsid w:val="004A7B6A"/>
    <w:rsid w:val="004B0394"/>
    <w:rsid w:val="004B4D1A"/>
    <w:rsid w:val="004C372B"/>
    <w:rsid w:val="004C730B"/>
    <w:rsid w:val="004C7478"/>
    <w:rsid w:val="004C7FD3"/>
    <w:rsid w:val="004D669C"/>
    <w:rsid w:val="004E227C"/>
    <w:rsid w:val="004E40C6"/>
    <w:rsid w:val="004E4BDA"/>
    <w:rsid w:val="004E5D08"/>
    <w:rsid w:val="004E68C6"/>
    <w:rsid w:val="004E7CD3"/>
    <w:rsid w:val="004F58C4"/>
    <w:rsid w:val="0051224F"/>
    <w:rsid w:val="00513BD9"/>
    <w:rsid w:val="0052384A"/>
    <w:rsid w:val="00524B1A"/>
    <w:rsid w:val="00526233"/>
    <w:rsid w:val="0053000F"/>
    <w:rsid w:val="00534333"/>
    <w:rsid w:val="005346BE"/>
    <w:rsid w:val="00546E44"/>
    <w:rsid w:val="005566F1"/>
    <w:rsid w:val="00556D14"/>
    <w:rsid w:val="00566563"/>
    <w:rsid w:val="005735DB"/>
    <w:rsid w:val="00575790"/>
    <w:rsid w:val="00575C58"/>
    <w:rsid w:val="005828A3"/>
    <w:rsid w:val="00585634"/>
    <w:rsid w:val="0059047A"/>
    <w:rsid w:val="005953BD"/>
    <w:rsid w:val="005A0D1E"/>
    <w:rsid w:val="005B3EAD"/>
    <w:rsid w:val="005B47B9"/>
    <w:rsid w:val="005C1C28"/>
    <w:rsid w:val="005C4756"/>
    <w:rsid w:val="005C4989"/>
    <w:rsid w:val="005C69A0"/>
    <w:rsid w:val="005C71EE"/>
    <w:rsid w:val="005D177F"/>
    <w:rsid w:val="005D4663"/>
    <w:rsid w:val="005D46D6"/>
    <w:rsid w:val="005E3164"/>
    <w:rsid w:val="005E4510"/>
    <w:rsid w:val="005E7A7D"/>
    <w:rsid w:val="005F07C2"/>
    <w:rsid w:val="005F6D17"/>
    <w:rsid w:val="0060555A"/>
    <w:rsid w:val="006056AF"/>
    <w:rsid w:val="00614981"/>
    <w:rsid w:val="00616B89"/>
    <w:rsid w:val="00620063"/>
    <w:rsid w:val="00621EEA"/>
    <w:rsid w:val="00623383"/>
    <w:rsid w:val="00624407"/>
    <w:rsid w:val="00626F33"/>
    <w:rsid w:val="00636155"/>
    <w:rsid w:val="00636404"/>
    <w:rsid w:val="00636834"/>
    <w:rsid w:val="00650920"/>
    <w:rsid w:val="00651B95"/>
    <w:rsid w:val="00660F59"/>
    <w:rsid w:val="006619A7"/>
    <w:rsid w:val="00662E14"/>
    <w:rsid w:val="00664907"/>
    <w:rsid w:val="00665875"/>
    <w:rsid w:val="00673BAF"/>
    <w:rsid w:val="00676281"/>
    <w:rsid w:val="00676610"/>
    <w:rsid w:val="006778E5"/>
    <w:rsid w:val="0068086A"/>
    <w:rsid w:val="00681D95"/>
    <w:rsid w:val="00682312"/>
    <w:rsid w:val="006876F8"/>
    <w:rsid w:val="00692F09"/>
    <w:rsid w:val="00693EAA"/>
    <w:rsid w:val="00695D69"/>
    <w:rsid w:val="006A6B61"/>
    <w:rsid w:val="006A782B"/>
    <w:rsid w:val="006B0284"/>
    <w:rsid w:val="006B0E23"/>
    <w:rsid w:val="006B5E3C"/>
    <w:rsid w:val="006C0DF1"/>
    <w:rsid w:val="006C39ED"/>
    <w:rsid w:val="006D058B"/>
    <w:rsid w:val="006D2807"/>
    <w:rsid w:val="006D690D"/>
    <w:rsid w:val="006D6A67"/>
    <w:rsid w:val="006E0390"/>
    <w:rsid w:val="006E0653"/>
    <w:rsid w:val="006E0F49"/>
    <w:rsid w:val="006E1BD4"/>
    <w:rsid w:val="006E2208"/>
    <w:rsid w:val="006E4100"/>
    <w:rsid w:val="006E6DA2"/>
    <w:rsid w:val="006F103D"/>
    <w:rsid w:val="006F1782"/>
    <w:rsid w:val="006F1D53"/>
    <w:rsid w:val="006F4BF3"/>
    <w:rsid w:val="006F6161"/>
    <w:rsid w:val="0070493B"/>
    <w:rsid w:val="00711334"/>
    <w:rsid w:val="0071252D"/>
    <w:rsid w:val="0071600D"/>
    <w:rsid w:val="007163CF"/>
    <w:rsid w:val="007221D2"/>
    <w:rsid w:val="00725452"/>
    <w:rsid w:val="00730EA5"/>
    <w:rsid w:val="00733AAC"/>
    <w:rsid w:val="0073433F"/>
    <w:rsid w:val="0073692D"/>
    <w:rsid w:val="00740336"/>
    <w:rsid w:val="00741A03"/>
    <w:rsid w:val="00742924"/>
    <w:rsid w:val="0074686C"/>
    <w:rsid w:val="00750785"/>
    <w:rsid w:val="00753255"/>
    <w:rsid w:val="00755D8D"/>
    <w:rsid w:val="007566D6"/>
    <w:rsid w:val="00760642"/>
    <w:rsid w:val="0076156E"/>
    <w:rsid w:val="00763222"/>
    <w:rsid w:val="007718E3"/>
    <w:rsid w:val="007766C3"/>
    <w:rsid w:val="007770C8"/>
    <w:rsid w:val="00785C25"/>
    <w:rsid w:val="007900E3"/>
    <w:rsid w:val="00791B1E"/>
    <w:rsid w:val="007B216A"/>
    <w:rsid w:val="007B6C9B"/>
    <w:rsid w:val="007C0391"/>
    <w:rsid w:val="007C2E02"/>
    <w:rsid w:val="007D1D61"/>
    <w:rsid w:val="007D281B"/>
    <w:rsid w:val="007D422C"/>
    <w:rsid w:val="007D6483"/>
    <w:rsid w:val="007F0136"/>
    <w:rsid w:val="007F0B7E"/>
    <w:rsid w:val="007F54CC"/>
    <w:rsid w:val="00804C0A"/>
    <w:rsid w:val="008071A1"/>
    <w:rsid w:val="0081230C"/>
    <w:rsid w:val="00812F1B"/>
    <w:rsid w:val="00815060"/>
    <w:rsid w:val="00816D29"/>
    <w:rsid w:val="0081751E"/>
    <w:rsid w:val="00832F60"/>
    <w:rsid w:val="00841A70"/>
    <w:rsid w:val="00860AD5"/>
    <w:rsid w:val="00862977"/>
    <w:rsid w:val="008630A2"/>
    <w:rsid w:val="00870499"/>
    <w:rsid w:val="008710B1"/>
    <w:rsid w:val="00871B21"/>
    <w:rsid w:val="00880231"/>
    <w:rsid w:val="008874D6"/>
    <w:rsid w:val="0089357F"/>
    <w:rsid w:val="00895665"/>
    <w:rsid w:val="00896BC6"/>
    <w:rsid w:val="00897E11"/>
    <w:rsid w:val="00897F96"/>
    <w:rsid w:val="008A09D8"/>
    <w:rsid w:val="008A0E2A"/>
    <w:rsid w:val="008B0192"/>
    <w:rsid w:val="008B0D60"/>
    <w:rsid w:val="008B257B"/>
    <w:rsid w:val="008B3C00"/>
    <w:rsid w:val="008C02EB"/>
    <w:rsid w:val="008C463B"/>
    <w:rsid w:val="008C511A"/>
    <w:rsid w:val="008C6399"/>
    <w:rsid w:val="008D41D1"/>
    <w:rsid w:val="008D5221"/>
    <w:rsid w:val="008D52C5"/>
    <w:rsid w:val="008E239D"/>
    <w:rsid w:val="008E2FED"/>
    <w:rsid w:val="008F1419"/>
    <w:rsid w:val="008F4E82"/>
    <w:rsid w:val="008F69F1"/>
    <w:rsid w:val="00900668"/>
    <w:rsid w:val="009165E5"/>
    <w:rsid w:val="009219CE"/>
    <w:rsid w:val="00925844"/>
    <w:rsid w:val="0092769F"/>
    <w:rsid w:val="009301D5"/>
    <w:rsid w:val="00932950"/>
    <w:rsid w:val="0093585B"/>
    <w:rsid w:val="009414E9"/>
    <w:rsid w:val="00941642"/>
    <w:rsid w:val="00943B86"/>
    <w:rsid w:val="00944B61"/>
    <w:rsid w:val="00960B20"/>
    <w:rsid w:val="00965BD9"/>
    <w:rsid w:val="00966184"/>
    <w:rsid w:val="00967076"/>
    <w:rsid w:val="009731CE"/>
    <w:rsid w:val="00973F45"/>
    <w:rsid w:val="00976B4D"/>
    <w:rsid w:val="00983B51"/>
    <w:rsid w:val="00983F01"/>
    <w:rsid w:val="00985869"/>
    <w:rsid w:val="00991BE2"/>
    <w:rsid w:val="00992253"/>
    <w:rsid w:val="0099719F"/>
    <w:rsid w:val="00997214"/>
    <w:rsid w:val="009975A4"/>
    <w:rsid w:val="009A1FC1"/>
    <w:rsid w:val="009B0402"/>
    <w:rsid w:val="009B2488"/>
    <w:rsid w:val="009B3355"/>
    <w:rsid w:val="009B6421"/>
    <w:rsid w:val="009B6720"/>
    <w:rsid w:val="009B72E7"/>
    <w:rsid w:val="009C1145"/>
    <w:rsid w:val="009C22DC"/>
    <w:rsid w:val="009D4E13"/>
    <w:rsid w:val="009E1C4D"/>
    <w:rsid w:val="009F02B2"/>
    <w:rsid w:val="009F7570"/>
    <w:rsid w:val="009F7800"/>
    <w:rsid w:val="00A05E53"/>
    <w:rsid w:val="00A0721A"/>
    <w:rsid w:val="00A10288"/>
    <w:rsid w:val="00A10D66"/>
    <w:rsid w:val="00A14DEB"/>
    <w:rsid w:val="00A15662"/>
    <w:rsid w:val="00A203C6"/>
    <w:rsid w:val="00A23BB7"/>
    <w:rsid w:val="00A25860"/>
    <w:rsid w:val="00A32E09"/>
    <w:rsid w:val="00A40708"/>
    <w:rsid w:val="00A40871"/>
    <w:rsid w:val="00A40A82"/>
    <w:rsid w:val="00A41B69"/>
    <w:rsid w:val="00A45F03"/>
    <w:rsid w:val="00A47B65"/>
    <w:rsid w:val="00A50A95"/>
    <w:rsid w:val="00A51930"/>
    <w:rsid w:val="00A525DA"/>
    <w:rsid w:val="00A554BD"/>
    <w:rsid w:val="00A66F7D"/>
    <w:rsid w:val="00A702C6"/>
    <w:rsid w:val="00A7345A"/>
    <w:rsid w:val="00A743E0"/>
    <w:rsid w:val="00A752AA"/>
    <w:rsid w:val="00A815DB"/>
    <w:rsid w:val="00A82F59"/>
    <w:rsid w:val="00A87128"/>
    <w:rsid w:val="00A87BBF"/>
    <w:rsid w:val="00A91DA2"/>
    <w:rsid w:val="00AA107D"/>
    <w:rsid w:val="00AA7B01"/>
    <w:rsid w:val="00AB062A"/>
    <w:rsid w:val="00AB3018"/>
    <w:rsid w:val="00AB4AA9"/>
    <w:rsid w:val="00AB736C"/>
    <w:rsid w:val="00AC1AF1"/>
    <w:rsid w:val="00AC60D5"/>
    <w:rsid w:val="00AC614F"/>
    <w:rsid w:val="00AC6406"/>
    <w:rsid w:val="00AD08BA"/>
    <w:rsid w:val="00AD1723"/>
    <w:rsid w:val="00AD1BA9"/>
    <w:rsid w:val="00AD2C24"/>
    <w:rsid w:val="00AD365F"/>
    <w:rsid w:val="00AD4CC3"/>
    <w:rsid w:val="00AE2525"/>
    <w:rsid w:val="00AE2874"/>
    <w:rsid w:val="00AE3F3B"/>
    <w:rsid w:val="00AF7F0C"/>
    <w:rsid w:val="00B0432F"/>
    <w:rsid w:val="00B05F4E"/>
    <w:rsid w:val="00B0612A"/>
    <w:rsid w:val="00B11804"/>
    <w:rsid w:val="00B20F4F"/>
    <w:rsid w:val="00B24340"/>
    <w:rsid w:val="00B35944"/>
    <w:rsid w:val="00B363F0"/>
    <w:rsid w:val="00B45627"/>
    <w:rsid w:val="00B53F67"/>
    <w:rsid w:val="00B54FFF"/>
    <w:rsid w:val="00B551D9"/>
    <w:rsid w:val="00B569F9"/>
    <w:rsid w:val="00B60175"/>
    <w:rsid w:val="00B61321"/>
    <w:rsid w:val="00B650FB"/>
    <w:rsid w:val="00B65759"/>
    <w:rsid w:val="00B672A0"/>
    <w:rsid w:val="00B72D27"/>
    <w:rsid w:val="00B74ACB"/>
    <w:rsid w:val="00B86F5E"/>
    <w:rsid w:val="00B932A6"/>
    <w:rsid w:val="00BA3D71"/>
    <w:rsid w:val="00BA4437"/>
    <w:rsid w:val="00BA4930"/>
    <w:rsid w:val="00BA6A4B"/>
    <w:rsid w:val="00BA7D23"/>
    <w:rsid w:val="00BC1445"/>
    <w:rsid w:val="00BD01AC"/>
    <w:rsid w:val="00BD6E31"/>
    <w:rsid w:val="00BF40C5"/>
    <w:rsid w:val="00C0342A"/>
    <w:rsid w:val="00C116BD"/>
    <w:rsid w:val="00C11D37"/>
    <w:rsid w:val="00C156DF"/>
    <w:rsid w:val="00C16610"/>
    <w:rsid w:val="00C175CF"/>
    <w:rsid w:val="00C2448F"/>
    <w:rsid w:val="00C25FE4"/>
    <w:rsid w:val="00C375DB"/>
    <w:rsid w:val="00C37E80"/>
    <w:rsid w:val="00C40682"/>
    <w:rsid w:val="00C40BED"/>
    <w:rsid w:val="00C4143B"/>
    <w:rsid w:val="00C60ABA"/>
    <w:rsid w:val="00C666C9"/>
    <w:rsid w:val="00C679E6"/>
    <w:rsid w:val="00C73287"/>
    <w:rsid w:val="00C80743"/>
    <w:rsid w:val="00C81547"/>
    <w:rsid w:val="00C8508C"/>
    <w:rsid w:val="00C8715D"/>
    <w:rsid w:val="00C905CC"/>
    <w:rsid w:val="00C9378E"/>
    <w:rsid w:val="00C96368"/>
    <w:rsid w:val="00C96A5D"/>
    <w:rsid w:val="00CA2FA7"/>
    <w:rsid w:val="00CA4AC6"/>
    <w:rsid w:val="00CB551A"/>
    <w:rsid w:val="00CC77CE"/>
    <w:rsid w:val="00CD13D6"/>
    <w:rsid w:val="00CE61F5"/>
    <w:rsid w:val="00CF02B1"/>
    <w:rsid w:val="00CF1368"/>
    <w:rsid w:val="00CF1E91"/>
    <w:rsid w:val="00CF7E54"/>
    <w:rsid w:val="00D00D13"/>
    <w:rsid w:val="00D02F5B"/>
    <w:rsid w:val="00D04692"/>
    <w:rsid w:val="00D15967"/>
    <w:rsid w:val="00D17031"/>
    <w:rsid w:val="00D21210"/>
    <w:rsid w:val="00D303C8"/>
    <w:rsid w:val="00D414A3"/>
    <w:rsid w:val="00D529BC"/>
    <w:rsid w:val="00D62E05"/>
    <w:rsid w:val="00D70625"/>
    <w:rsid w:val="00D71F34"/>
    <w:rsid w:val="00D72705"/>
    <w:rsid w:val="00D72957"/>
    <w:rsid w:val="00D7429F"/>
    <w:rsid w:val="00D752C9"/>
    <w:rsid w:val="00D821F6"/>
    <w:rsid w:val="00D84278"/>
    <w:rsid w:val="00D91620"/>
    <w:rsid w:val="00D938B9"/>
    <w:rsid w:val="00D954BA"/>
    <w:rsid w:val="00DA5374"/>
    <w:rsid w:val="00DB0013"/>
    <w:rsid w:val="00DB3D56"/>
    <w:rsid w:val="00DC00BD"/>
    <w:rsid w:val="00DC0648"/>
    <w:rsid w:val="00DC50E4"/>
    <w:rsid w:val="00DC5D4B"/>
    <w:rsid w:val="00DC608F"/>
    <w:rsid w:val="00DD0E36"/>
    <w:rsid w:val="00DD421C"/>
    <w:rsid w:val="00DE45B4"/>
    <w:rsid w:val="00DE7DA8"/>
    <w:rsid w:val="00DF35AA"/>
    <w:rsid w:val="00E0069C"/>
    <w:rsid w:val="00E021EF"/>
    <w:rsid w:val="00E04377"/>
    <w:rsid w:val="00E04EB2"/>
    <w:rsid w:val="00E065BE"/>
    <w:rsid w:val="00E1429F"/>
    <w:rsid w:val="00E22308"/>
    <w:rsid w:val="00E24198"/>
    <w:rsid w:val="00E247E7"/>
    <w:rsid w:val="00E2729B"/>
    <w:rsid w:val="00E31018"/>
    <w:rsid w:val="00E338C5"/>
    <w:rsid w:val="00E433E0"/>
    <w:rsid w:val="00E46370"/>
    <w:rsid w:val="00E4716C"/>
    <w:rsid w:val="00E50149"/>
    <w:rsid w:val="00E56800"/>
    <w:rsid w:val="00E608C3"/>
    <w:rsid w:val="00E62392"/>
    <w:rsid w:val="00E62FD6"/>
    <w:rsid w:val="00E63258"/>
    <w:rsid w:val="00E650DF"/>
    <w:rsid w:val="00E65291"/>
    <w:rsid w:val="00E65E4C"/>
    <w:rsid w:val="00E67727"/>
    <w:rsid w:val="00E6779E"/>
    <w:rsid w:val="00E726DA"/>
    <w:rsid w:val="00E759F2"/>
    <w:rsid w:val="00E80274"/>
    <w:rsid w:val="00E83EB2"/>
    <w:rsid w:val="00E8585F"/>
    <w:rsid w:val="00E85A7B"/>
    <w:rsid w:val="00E910D8"/>
    <w:rsid w:val="00E948B0"/>
    <w:rsid w:val="00E970A4"/>
    <w:rsid w:val="00E9729A"/>
    <w:rsid w:val="00E97658"/>
    <w:rsid w:val="00EA39C9"/>
    <w:rsid w:val="00EB0A01"/>
    <w:rsid w:val="00EB0A85"/>
    <w:rsid w:val="00EC514C"/>
    <w:rsid w:val="00EC63D8"/>
    <w:rsid w:val="00ED08C5"/>
    <w:rsid w:val="00ED2ADB"/>
    <w:rsid w:val="00ED3276"/>
    <w:rsid w:val="00ED7416"/>
    <w:rsid w:val="00EE44E8"/>
    <w:rsid w:val="00EE7A7C"/>
    <w:rsid w:val="00F01CB3"/>
    <w:rsid w:val="00F02230"/>
    <w:rsid w:val="00F02B49"/>
    <w:rsid w:val="00F04D80"/>
    <w:rsid w:val="00F173DC"/>
    <w:rsid w:val="00F20D75"/>
    <w:rsid w:val="00F21029"/>
    <w:rsid w:val="00F24346"/>
    <w:rsid w:val="00F25338"/>
    <w:rsid w:val="00F41544"/>
    <w:rsid w:val="00F42CF2"/>
    <w:rsid w:val="00F44675"/>
    <w:rsid w:val="00F4567E"/>
    <w:rsid w:val="00F56A33"/>
    <w:rsid w:val="00F614EA"/>
    <w:rsid w:val="00F6219F"/>
    <w:rsid w:val="00F62C3F"/>
    <w:rsid w:val="00F63B1B"/>
    <w:rsid w:val="00F6534F"/>
    <w:rsid w:val="00F65A58"/>
    <w:rsid w:val="00F67398"/>
    <w:rsid w:val="00F726C4"/>
    <w:rsid w:val="00F839BF"/>
    <w:rsid w:val="00F86BD8"/>
    <w:rsid w:val="00F96753"/>
    <w:rsid w:val="00F969B0"/>
    <w:rsid w:val="00F96A9A"/>
    <w:rsid w:val="00F970A7"/>
    <w:rsid w:val="00FA479F"/>
    <w:rsid w:val="00FA53AD"/>
    <w:rsid w:val="00FA63FD"/>
    <w:rsid w:val="00FC3C2E"/>
    <w:rsid w:val="00FC40A2"/>
    <w:rsid w:val="00FC4B22"/>
    <w:rsid w:val="00FC66A8"/>
    <w:rsid w:val="00FC7E43"/>
    <w:rsid w:val="00FD174E"/>
    <w:rsid w:val="00FD4169"/>
    <w:rsid w:val="00FD4334"/>
    <w:rsid w:val="00FD5500"/>
    <w:rsid w:val="00FD5951"/>
    <w:rsid w:val="00FE0E02"/>
    <w:rsid w:val="00FE0E09"/>
    <w:rsid w:val="00FE54A0"/>
    <w:rsid w:val="00FE551B"/>
    <w:rsid w:val="00FF30EA"/>
    <w:rsid w:val="00FF3F3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B0C39"/>
  <w15:docId w15:val="{D5AB5A17-7AFF-4624-943C-AFEEC40C8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CB551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295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191C1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551A"/>
    <w:rPr>
      <w:rFonts w:asciiTheme="majorHAnsi" w:eastAsiaTheme="majorEastAsia" w:hAnsiTheme="majorHAnsi" w:cstheme="majorBidi"/>
      <w:color w:val="2E74B5" w:themeColor="accent1" w:themeShade="BF"/>
      <w:sz w:val="32"/>
      <w:szCs w:val="32"/>
    </w:rPr>
  </w:style>
  <w:style w:type="paragraph" w:styleId="FootnoteText">
    <w:name w:val="footnote text"/>
    <w:basedOn w:val="Normal"/>
    <w:link w:val="FootnoteTextChar"/>
    <w:uiPriority w:val="99"/>
    <w:semiHidden/>
    <w:unhideWhenUsed/>
    <w:rsid w:val="007F0B7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F0B7E"/>
    <w:rPr>
      <w:sz w:val="20"/>
      <w:szCs w:val="20"/>
    </w:rPr>
  </w:style>
  <w:style w:type="character" w:styleId="FootnoteReference">
    <w:name w:val="footnote reference"/>
    <w:basedOn w:val="DefaultParagraphFont"/>
    <w:uiPriority w:val="99"/>
    <w:semiHidden/>
    <w:unhideWhenUsed/>
    <w:rsid w:val="007F0B7E"/>
    <w:rPr>
      <w:vertAlign w:val="superscript"/>
    </w:rPr>
  </w:style>
  <w:style w:type="character" w:customStyle="1" w:styleId="Heading2Char">
    <w:name w:val="Heading 2 Char"/>
    <w:basedOn w:val="DefaultParagraphFont"/>
    <w:link w:val="Heading2"/>
    <w:uiPriority w:val="9"/>
    <w:rsid w:val="00932950"/>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191C1E"/>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553935">
      <w:bodyDiv w:val="1"/>
      <w:marLeft w:val="0"/>
      <w:marRight w:val="0"/>
      <w:marTop w:val="0"/>
      <w:marBottom w:val="0"/>
      <w:divBdr>
        <w:top w:val="none" w:sz="0" w:space="0" w:color="auto"/>
        <w:left w:val="none" w:sz="0" w:space="0" w:color="auto"/>
        <w:bottom w:val="none" w:sz="0" w:space="0" w:color="auto"/>
        <w:right w:val="none" w:sz="0" w:space="0" w:color="auto"/>
      </w:divBdr>
    </w:div>
    <w:div w:id="53704859">
      <w:bodyDiv w:val="1"/>
      <w:marLeft w:val="0"/>
      <w:marRight w:val="0"/>
      <w:marTop w:val="0"/>
      <w:marBottom w:val="0"/>
      <w:divBdr>
        <w:top w:val="none" w:sz="0" w:space="0" w:color="auto"/>
        <w:left w:val="none" w:sz="0" w:space="0" w:color="auto"/>
        <w:bottom w:val="none" w:sz="0" w:space="0" w:color="auto"/>
        <w:right w:val="none" w:sz="0" w:space="0" w:color="auto"/>
      </w:divBdr>
    </w:div>
    <w:div w:id="623535748">
      <w:bodyDiv w:val="1"/>
      <w:marLeft w:val="0"/>
      <w:marRight w:val="0"/>
      <w:marTop w:val="0"/>
      <w:marBottom w:val="0"/>
      <w:divBdr>
        <w:top w:val="none" w:sz="0" w:space="0" w:color="auto"/>
        <w:left w:val="none" w:sz="0" w:space="0" w:color="auto"/>
        <w:bottom w:val="none" w:sz="0" w:space="0" w:color="auto"/>
        <w:right w:val="none" w:sz="0" w:space="0" w:color="auto"/>
      </w:divBdr>
    </w:div>
    <w:div w:id="696077153">
      <w:bodyDiv w:val="1"/>
      <w:marLeft w:val="0"/>
      <w:marRight w:val="0"/>
      <w:marTop w:val="0"/>
      <w:marBottom w:val="0"/>
      <w:divBdr>
        <w:top w:val="none" w:sz="0" w:space="0" w:color="auto"/>
        <w:left w:val="none" w:sz="0" w:space="0" w:color="auto"/>
        <w:bottom w:val="none" w:sz="0" w:space="0" w:color="auto"/>
        <w:right w:val="none" w:sz="0" w:space="0" w:color="auto"/>
      </w:divBdr>
    </w:div>
    <w:div w:id="709568883">
      <w:bodyDiv w:val="1"/>
      <w:marLeft w:val="0"/>
      <w:marRight w:val="0"/>
      <w:marTop w:val="0"/>
      <w:marBottom w:val="0"/>
      <w:divBdr>
        <w:top w:val="none" w:sz="0" w:space="0" w:color="auto"/>
        <w:left w:val="none" w:sz="0" w:space="0" w:color="auto"/>
        <w:bottom w:val="none" w:sz="0" w:space="0" w:color="auto"/>
        <w:right w:val="none" w:sz="0" w:space="0" w:color="auto"/>
      </w:divBdr>
    </w:div>
    <w:div w:id="746418088">
      <w:bodyDiv w:val="1"/>
      <w:marLeft w:val="0"/>
      <w:marRight w:val="0"/>
      <w:marTop w:val="0"/>
      <w:marBottom w:val="0"/>
      <w:divBdr>
        <w:top w:val="none" w:sz="0" w:space="0" w:color="auto"/>
        <w:left w:val="none" w:sz="0" w:space="0" w:color="auto"/>
        <w:bottom w:val="none" w:sz="0" w:space="0" w:color="auto"/>
        <w:right w:val="none" w:sz="0" w:space="0" w:color="auto"/>
      </w:divBdr>
    </w:div>
    <w:div w:id="763258896">
      <w:bodyDiv w:val="1"/>
      <w:marLeft w:val="0"/>
      <w:marRight w:val="0"/>
      <w:marTop w:val="0"/>
      <w:marBottom w:val="0"/>
      <w:divBdr>
        <w:top w:val="none" w:sz="0" w:space="0" w:color="auto"/>
        <w:left w:val="none" w:sz="0" w:space="0" w:color="auto"/>
        <w:bottom w:val="none" w:sz="0" w:space="0" w:color="auto"/>
        <w:right w:val="none" w:sz="0" w:space="0" w:color="auto"/>
      </w:divBdr>
    </w:div>
    <w:div w:id="777916260">
      <w:bodyDiv w:val="1"/>
      <w:marLeft w:val="0"/>
      <w:marRight w:val="0"/>
      <w:marTop w:val="0"/>
      <w:marBottom w:val="0"/>
      <w:divBdr>
        <w:top w:val="none" w:sz="0" w:space="0" w:color="auto"/>
        <w:left w:val="none" w:sz="0" w:space="0" w:color="auto"/>
        <w:bottom w:val="none" w:sz="0" w:space="0" w:color="auto"/>
        <w:right w:val="none" w:sz="0" w:space="0" w:color="auto"/>
      </w:divBdr>
    </w:div>
    <w:div w:id="785469791">
      <w:bodyDiv w:val="1"/>
      <w:marLeft w:val="0"/>
      <w:marRight w:val="0"/>
      <w:marTop w:val="0"/>
      <w:marBottom w:val="0"/>
      <w:divBdr>
        <w:top w:val="none" w:sz="0" w:space="0" w:color="auto"/>
        <w:left w:val="none" w:sz="0" w:space="0" w:color="auto"/>
        <w:bottom w:val="none" w:sz="0" w:space="0" w:color="auto"/>
        <w:right w:val="none" w:sz="0" w:space="0" w:color="auto"/>
      </w:divBdr>
    </w:div>
    <w:div w:id="813523037">
      <w:bodyDiv w:val="1"/>
      <w:marLeft w:val="0"/>
      <w:marRight w:val="0"/>
      <w:marTop w:val="0"/>
      <w:marBottom w:val="0"/>
      <w:divBdr>
        <w:top w:val="none" w:sz="0" w:space="0" w:color="auto"/>
        <w:left w:val="none" w:sz="0" w:space="0" w:color="auto"/>
        <w:bottom w:val="none" w:sz="0" w:space="0" w:color="auto"/>
        <w:right w:val="none" w:sz="0" w:space="0" w:color="auto"/>
      </w:divBdr>
    </w:div>
    <w:div w:id="844782073">
      <w:bodyDiv w:val="1"/>
      <w:marLeft w:val="0"/>
      <w:marRight w:val="0"/>
      <w:marTop w:val="0"/>
      <w:marBottom w:val="0"/>
      <w:divBdr>
        <w:top w:val="none" w:sz="0" w:space="0" w:color="auto"/>
        <w:left w:val="none" w:sz="0" w:space="0" w:color="auto"/>
        <w:bottom w:val="none" w:sz="0" w:space="0" w:color="auto"/>
        <w:right w:val="none" w:sz="0" w:space="0" w:color="auto"/>
      </w:divBdr>
    </w:div>
    <w:div w:id="897591686">
      <w:bodyDiv w:val="1"/>
      <w:marLeft w:val="0"/>
      <w:marRight w:val="0"/>
      <w:marTop w:val="0"/>
      <w:marBottom w:val="0"/>
      <w:divBdr>
        <w:top w:val="none" w:sz="0" w:space="0" w:color="auto"/>
        <w:left w:val="none" w:sz="0" w:space="0" w:color="auto"/>
        <w:bottom w:val="none" w:sz="0" w:space="0" w:color="auto"/>
        <w:right w:val="none" w:sz="0" w:space="0" w:color="auto"/>
      </w:divBdr>
    </w:div>
    <w:div w:id="993727291">
      <w:bodyDiv w:val="1"/>
      <w:marLeft w:val="0"/>
      <w:marRight w:val="0"/>
      <w:marTop w:val="0"/>
      <w:marBottom w:val="0"/>
      <w:divBdr>
        <w:top w:val="none" w:sz="0" w:space="0" w:color="auto"/>
        <w:left w:val="none" w:sz="0" w:space="0" w:color="auto"/>
        <w:bottom w:val="none" w:sz="0" w:space="0" w:color="auto"/>
        <w:right w:val="none" w:sz="0" w:space="0" w:color="auto"/>
      </w:divBdr>
      <w:divsChild>
        <w:div w:id="1429932368">
          <w:marLeft w:val="0"/>
          <w:marRight w:val="0"/>
          <w:marTop w:val="0"/>
          <w:marBottom w:val="0"/>
          <w:divBdr>
            <w:top w:val="none" w:sz="0" w:space="0" w:color="auto"/>
            <w:left w:val="none" w:sz="0" w:space="0" w:color="auto"/>
            <w:bottom w:val="none" w:sz="0" w:space="0" w:color="auto"/>
            <w:right w:val="none" w:sz="0" w:space="0" w:color="auto"/>
          </w:divBdr>
        </w:div>
      </w:divsChild>
    </w:div>
    <w:div w:id="1065955517">
      <w:bodyDiv w:val="1"/>
      <w:marLeft w:val="0"/>
      <w:marRight w:val="0"/>
      <w:marTop w:val="0"/>
      <w:marBottom w:val="0"/>
      <w:divBdr>
        <w:top w:val="none" w:sz="0" w:space="0" w:color="auto"/>
        <w:left w:val="none" w:sz="0" w:space="0" w:color="auto"/>
        <w:bottom w:val="none" w:sz="0" w:space="0" w:color="auto"/>
        <w:right w:val="none" w:sz="0" w:space="0" w:color="auto"/>
      </w:divBdr>
    </w:div>
    <w:div w:id="1127968198">
      <w:bodyDiv w:val="1"/>
      <w:marLeft w:val="0"/>
      <w:marRight w:val="0"/>
      <w:marTop w:val="0"/>
      <w:marBottom w:val="0"/>
      <w:divBdr>
        <w:top w:val="none" w:sz="0" w:space="0" w:color="auto"/>
        <w:left w:val="none" w:sz="0" w:space="0" w:color="auto"/>
        <w:bottom w:val="none" w:sz="0" w:space="0" w:color="auto"/>
        <w:right w:val="none" w:sz="0" w:space="0" w:color="auto"/>
      </w:divBdr>
    </w:div>
    <w:div w:id="1149252279">
      <w:bodyDiv w:val="1"/>
      <w:marLeft w:val="0"/>
      <w:marRight w:val="0"/>
      <w:marTop w:val="0"/>
      <w:marBottom w:val="0"/>
      <w:divBdr>
        <w:top w:val="none" w:sz="0" w:space="0" w:color="auto"/>
        <w:left w:val="none" w:sz="0" w:space="0" w:color="auto"/>
        <w:bottom w:val="none" w:sz="0" w:space="0" w:color="auto"/>
        <w:right w:val="none" w:sz="0" w:space="0" w:color="auto"/>
      </w:divBdr>
    </w:div>
    <w:div w:id="1197965186">
      <w:bodyDiv w:val="1"/>
      <w:marLeft w:val="0"/>
      <w:marRight w:val="0"/>
      <w:marTop w:val="0"/>
      <w:marBottom w:val="0"/>
      <w:divBdr>
        <w:top w:val="none" w:sz="0" w:space="0" w:color="auto"/>
        <w:left w:val="none" w:sz="0" w:space="0" w:color="auto"/>
        <w:bottom w:val="none" w:sz="0" w:space="0" w:color="auto"/>
        <w:right w:val="none" w:sz="0" w:space="0" w:color="auto"/>
      </w:divBdr>
    </w:div>
    <w:div w:id="1235817487">
      <w:bodyDiv w:val="1"/>
      <w:marLeft w:val="0"/>
      <w:marRight w:val="0"/>
      <w:marTop w:val="0"/>
      <w:marBottom w:val="0"/>
      <w:divBdr>
        <w:top w:val="none" w:sz="0" w:space="0" w:color="auto"/>
        <w:left w:val="none" w:sz="0" w:space="0" w:color="auto"/>
        <w:bottom w:val="none" w:sz="0" w:space="0" w:color="auto"/>
        <w:right w:val="none" w:sz="0" w:space="0" w:color="auto"/>
      </w:divBdr>
    </w:div>
    <w:div w:id="1378434549">
      <w:bodyDiv w:val="1"/>
      <w:marLeft w:val="0"/>
      <w:marRight w:val="0"/>
      <w:marTop w:val="0"/>
      <w:marBottom w:val="0"/>
      <w:divBdr>
        <w:top w:val="none" w:sz="0" w:space="0" w:color="auto"/>
        <w:left w:val="none" w:sz="0" w:space="0" w:color="auto"/>
        <w:bottom w:val="none" w:sz="0" w:space="0" w:color="auto"/>
        <w:right w:val="none" w:sz="0" w:space="0" w:color="auto"/>
      </w:divBdr>
    </w:div>
    <w:div w:id="1409962507">
      <w:bodyDiv w:val="1"/>
      <w:marLeft w:val="0"/>
      <w:marRight w:val="0"/>
      <w:marTop w:val="0"/>
      <w:marBottom w:val="0"/>
      <w:divBdr>
        <w:top w:val="none" w:sz="0" w:space="0" w:color="auto"/>
        <w:left w:val="none" w:sz="0" w:space="0" w:color="auto"/>
        <w:bottom w:val="none" w:sz="0" w:space="0" w:color="auto"/>
        <w:right w:val="none" w:sz="0" w:space="0" w:color="auto"/>
      </w:divBdr>
    </w:div>
    <w:div w:id="1510682329">
      <w:bodyDiv w:val="1"/>
      <w:marLeft w:val="0"/>
      <w:marRight w:val="0"/>
      <w:marTop w:val="0"/>
      <w:marBottom w:val="0"/>
      <w:divBdr>
        <w:top w:val="none" w:sz="0" w:space="0" w:color="auto"/>
        <w:left w:val="none" w:sz="0" w:space="0" w:color="auto"/>
        <w:bottom w:val="none" w:sz="0" w:space="0" w:color="auto"/>
        <w:right w:val="none" w:sz="0" w:space="0" w:color="auto"/>
      </w:divBdr>
    </w:div>
    <w:div w:id="1684672458">
      <w:bodyDiv w:val="1"/>
      <w:marLeft w:val="0"/>
      <w:marRight w:val="0"/>
      <w:marTop w:val="0"/>
      <w:marBottom w:val="0"/>
      <w:divBdr>
        <w:top w:val="none" w:sz="0" w:space="0" w:color="auto"/>
        <w:left w:val="none" w:sz="0" w:space="0" w:color="auto"/>
        <w:bottom w:val="none" w:sz="0" w:space="0" w:color="auto"/>
        <w:right w:val="none" w:sz="0" w:space="0" w:color="auto"/>
      </w:divBdr>
    </w:div>
    <w:div w:id="1761294578">
      <w:bodyDiv w:val="1"/>
      <w:marLeft w:val="0"/>
      <w:marRight w:val="0"/>
      <w:marTop w:val="0"/>
      <w:marBottom w:val="0"/>
      <w:divBdr>
        <w:top w:val="none" w:sz="0" w:space="0" w:color="auto"/>
        <w:left w:val="none" w:sz="0" w:space="0" w:color="auto"/>
        <w:bottom w:val="none" w:sz="0" w:space="0" w:color="auto"/>
        <w:right w:val="none" w:sz="0" w:space="0" w:color="auto"/>
      </w:divBdr>
      <w:divsChild>
        <w:div w:id="535823012">
          <w:marLeft w:val="0"/>
          <w:marRight w:val="0"/>
          <w:marTop w:val="0"/>
          <w:marBottom w:val="0"/>
          <w:divBdr>
            <w:top w:val="none" w:sz="0" w:space="0" w:color="auto"/>
            <w:left w:val="none" w:sz="0" w:space="0" w:color="auto"/>
            <w:bottom w:val="none" w:sz="0" w:space="0" w:color="auto"/>
            <w:right w:val="none" w:sz="0" w:space="0" w:color="auto"/>
          </w:divBdr>
        </w:div>
      </w:divsChild>
    </w:div>
    <w:div w:id="1895962455">
      <w:bodyDiv w:val="1"/>
      <w:marLeft w:val="0"/>
      <w:marRight w:val="0"/>
      <w:marTop w:val="0"/>
      <w:marBottom w:val="0"/>
      <w:divBdr>
        <w:top w:val="none" w:sz="0" w:space="0" w:color="auto"/>
        <w:left w:val="none" w:sz="0" w:space="0" w:color="auto"/>
        <w:bottom w:val="none" w:sz="0" w:space="0" w:color="auto"/>
        <w:right w:val="none" w:sz="0" w:space="0" w:color="auto"/>
      </w:divBdr>
    </w:div>
    <w:div w:id="19141232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542BF1-FEE8-4911-A822-16024A5E35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588</TotalTime>
  <Pages>2</Pages>
  <Words>699</Words>
  <Characters>3987</Characters>
  <Application>Microsoft Office Word</Application>
  <DocSecurity>0</DocSecurity>
  <Lines>33</Lines>
  <Paragraphs>9</Paragraphs>
  <ScaleCrop>false</ScaleCrop>
  <HeadingPairs>
    <vt:vector size="4" baseType="variant">
      <vt:variant>
        <vt:lpstr>Title</vt:lpstr>
      </vt:variant>
      <vt:variant>
        <vt:i4>1</vt:i4>
      </vt:variant>
      <vt:variant>
        <vt:lpstr>Headings</vt:lpstr>
      </vt:variant>
      <vt:variant>
        <vt:i4>6</vt:i4>
      </vt:variant>
    </vt:vector>
  </HeadingPairs>
  <TitlesOfParts>
    <vt:vector size="7" baseType="lpstr">
      <vt:lpstr/>
      <vt:lpstr>המחלוקות של קרח ועדתו</vt:lpstr>
      <vt:lpstr>        טענת עדתו של קורח</vt:lpstr>
      <vt:lpstr>        בני לוי</vt:lpstr>
      <vt:lpstr>        עמדתו של קורח</vt:lpstr>
      <vt:lpstr>        בין דתן ואבירם לעדת קורח</vt:lpstr>
      <vt:lpstr>        המבחן שהציע משה</vt:lpstr>
    </vt:vector>
  </TitlesOfParts>
  <Company/>
  <LinksUpToDate>false</LinksUpToDate>
  <CharactersWithSpaces>4677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Tomer</dc:creator>
  <cp:keywords>הרב חיים סבתו</cp:keywords>
  <dc:description/>
  <cp:lastModifiedBy>תומר לוי</cp:lastModifiedBy>
  <cp:revision>135</cp:revision>
  <cp:lastPrinted>2023-06-30T16:25:00Z</cp:lastPrinted>
  <dcterms:created xsi:type="dcterms:W3CDTF">2025-06-25T04:44:00Z</dcterms:created>
  <dcterms:modified xsi:type="dcterms:W3CDTF">2025-06-25T14:31:00Z</dcterms:modified>
</cp:coreProperties>
</file>